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A40EA" w14:textId="77777777" w:rsidR="000A3E83" w:rsidRPr="00875906" w:rsidRDefault="008C7E91">
      <w:pPr>
        <w:rPr>
          <w:rFonts w:ascii="Times New Roman" w:hAnsi="Times New Roman" w:cs="Times New Roman"/>
        </w:rPr>
      </w:pPr>
      <w:r w:rsidRPr="00875906">
        <w:rPr>
          <w:rFonts w:ascii="Times New Roman" w:eastAsia="Times New Roman" w:hAnsi="Times New Roman" w:cs="Times New Roman"/>
        </w:rPr>
        <w:t xml:space="preserve">           </w:t>
      </w:r>
      <w:r w:rsidR="00000000">
        <w:rPr>
          <w:rFonts w:ascii="Times New Roman" w:hAnsi="Times New Roman" w:cs="Times New Roman"/>
          <w:noProof/>
          <w:lang w:val="en-US" w:eastAsia="en-US"/>
        </w:rPr>
        <w:pict w14:anchorId="2CC65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style="width:44.25pt;height:51pt;visibility:visible;mso-wrap-style:square">
            <v:imagedata r:id="rId7" o:title="" croptop="-52f" cropbottom="-52f" cropleft="-59f" cropright="-59f"/>
          </v:shape>
        </w:pict>
      </w:r>
    </w:p>
    <w:p w14:paraId="31891CE9" w14:textId="77777777" w:rsidR="000A3E83" w:rsidRPr="00875906" w:rsidRDefault="000A3E83">
      <w:pPr>
        <w:rPr>
          <w:rFonts w:ascii="Times New Roman" w:hAnsi="Times New Roman" w:cs="Times New Roman"/>
        </w:rPr>
      </w:pPr>
    </w:p>
    <w:p w14:paraId="7426F08E" w14:textId="77777777" w:rsidR="000A3E83" w:rsidRPr="00875906" w:rsidRDefault="008C7E91">
      <w:pPr>
        <w:rPr>
          <w:rFonts w:ascii="Times New Roman" w:hAnsi="Times New Roman" w:cs="Times New Roman"/>
          <w:b/>
          <w:bCs/>
        </w:rPr>
      </w:pPr>
      <w:r w:rsidRPr="00875906">
        <w:rPr>
          <w:rFonts w:ascii="Times New Roman" w:hAnsi="Times New Roman" w:cs="Times New Roman"/>
          <w:b/>
          <w:bCs/>
        </w:rPr>
        <w:t>REPUBLIKA HRVATSKA</w:t>
      </w:r>
    </w:p>
    <w:p w14:paraId="14E77698" w14:textId="77777777" w:rsidR="000A3E83" w:rsidRPr="00875906" w:rsidRDefault="008C7E91">
      <w:pPr>
        <w:rPr>
          <w:rFonts w:ascii="Times New Roman" w:hAnsi="Times New Roman" w:cs="Times New Roman"/>
          <w:b/>
          <w:bCs/>
        </w:rPr>
      </w:pPr>
      <w:r w:rsidRPr="00875906">
        <w:rPr>
          <w:rFonts w:ascii="Times New Roman" w:hAnsi="Times New Roman" w:cs="Times New Roman"/>
          <w:b/>
          <w:bCs/>
        </w:rPr>
        <w:t>KARLOVAČKA ŽUPANIJA</w:t>
      </w:r>
    </w:p>
    <w:p w14:paraId="0EBD5434" w14:textId="77777777" w:rsidR="000A3E83" w:rsidRPr="00875906" w:rsidRDefault="000A3E83">
      <w:pPr>
        <w:rPr>
          <w:rFonts w:ascii="Times New Roman" w:hAnsi="Times New Roman" w:cs="Times New Roman"/>
          <w:b/>
          <w:bCs/>
        </w:rPr>
      </w:pPr>
    </w:p>
    <w:p w14:paraId="1053FE19" w14:textId="77777777" w:rsidR="000A3E83" w:rsidRPr="00875906" w:rsidRDefault="008C7E91">
      <w:pPr>
        <w:rPr>
          <w:rFonts w:ascii="Times New Roman" w:hAnsi="Times New Roman" w:cs="Times New Roman"/>
          <w:b/>
          <w:bCs/>
        </w:rPr>
      </w:pPr>
      <w:r w:rsidRPr="00875906">
        <w:rPr>
          <w:rFonts w:ascii="Times New Roman" w:hAnsi="Times New Roman" w:cs="Times New Roman"/>
          <w:b/>
          <w:bCs/>
        </w:rPr>
        <w:t>OPĆINA KAMANJE</w:t>
      </w:r>
    </w:p>
    <w:p w14:paraId="0147C932" w14:textId="77777777" w:rsidR="000A3E83" w:rsidRPr="00875906" w:rsidRDefault="008C7E91">
      <w:pPr>
        <w:rPr>
          <w:rFonts w:ascii="Times New Roman" w:hAnsi="Times New Roman" w:cs="Times New Roman"/>
          <w:b/>
          <w:bCs/>
        </w:rPr>
      </w:pPr>
      <w:r w:rsidRPr="00875906">
        <w:rPr>
          <w:rFonts w:ascii="Times New Roman" w:hAnsi="Times New Roman" w:cs="Times New Roman"/>
          <w:b/>
          <w:bCs/>
        </w:rPr>
        <w:t>JEDINSTVENI UPRAVNI ODJEL</w:t>
      </w:r>
    </w:p>
    <w:p w14:paraId="39FE3AE9" w14:textId="77777777" w:rsidR="000A3E83" w:rsidRPr="00875906" w:rsidRDefault="000A3E83">
      <w:pPr>
        <w:rPr>
          <w:rFonts w:ascii="Times New Roman" w:hAnsi="Times New Roman" w:cs="Times New Roman"/>
          <w:b/>
          <w:bCs/>
        </w:rPr>
      </w:pPr>
    </w:p>
    <w:p w14:paraId="6926DBE1" w14:textId="77777777" w:rsidR="000A3E83" w:rsidRPr="00875906" w:rsidRDefault="008C7E91">
      <w:pPr>
        <w:rPr>
          <w:rFonts w:ascii="Times New Roman" w:hAnsi="Times New Roman" w:cs="Times New Roman"/>
        </w:rPr>
      </w:pPr>
      <w:r w:rsidRPr="00875906">
        <w:rPr>
          <w:rFonts w:ascii="Times New Roman" w:hAnsi="Times New Roman" w:cs="Times New Roman"/>
        </w:rPr>
        <w:t>KLASA: 400-01/26-01/01</w:t>
      </w:r>
    </w:p>
    <w:p w14:paraId="12CE26E0" w14:textId="31D3348F" w:rsidR="000A3E83" w:rsidRPr="00875906" w:rsidRDefault="008C7E91">
      <w:pPr>
        <w:rPr>
          <w:rFonts w:ascii="Times New Roman" w:hAnsi="Times New Roman" w:cs="Times New Roman"/>
        </w:rPr>
      </w:pPr>
      <w:r w:rsidRPr="00875906">
        <w:rPr>
          <w:rFonts w:ascii="Times New Roman" w:hAnsi="Times New Roman" w:cs="Times New Roman"/>
        </w:rPr>
        <w:t>URBROJ: 2133-18-03-26-0</w:t>
      </w:r>
      <w:r w:rsidR="000E12F1">
        <w:rPr>
          <w:rFonts w:ascii="Times New Roman" w:hAnsi="Times New Roman" w:cs="Times New Roman"/>
        </w:rPr>
        <w:t>4</w:t>
      </w:r>
    </w:p>
    <w:p w14:paraId="09B61494" w14:textId="77777777" w:rsidR="000A3E83" w:rsidRPr="00875906" w:rsidRDefault="008C7E91">
      <w:pPr>
        <w:rPr>
          <w:rFonts w:ascii="Times New Roman" w:hAnsi="Times New Roman" w:cs="Times New Roman"/>
        </w:rPr>
      </w:pPr>
      <w:r w:rsidRPr="00875906">
        <w:rPr>
          <w:rFonts w:ascii="Times New Roman" w:hAnsi="Times New Roman" w:cs="Times New Roman"/>
        </w:rPr>
        <w:t>Kamanje, 15.10.2026. godine</w:t>
      </w:r>
    </w:p>
    <w:p w14:paraId="294023E5" w14:textId="77777777" w:rsidR="000A3E83" w:rsidRPr="00875906" w:rsidRDefault="000A3E83">
      <w:pPr>
        <w:rPr>
          <w:rFonts w:ascii="Times New Roman" w:hAnsi="Times New Roman" w:cs="Times New Roman"/>
        </w:rPr>
      </w:pPr>
    </w:p>
    <w:p w14:paraId="1CADCF87" w14:textId="77777777" w:rsidR="000A3E83" w:rsidRPr="00875906" w:rsidRDefault="000A3E83">
      <w:pPr>
        <w:rPr>
          <w:rFonts w:ascii="Times New Roman" w:hAnsi="Times New Roman" w:cs="Times New Roman"/>
        </w:rPr>
      </w:pPr>
    </w:p>
    <w:p w14:paraId="52FF1E85" w14:textId="77777777" w:rsidR="000A3E83" w:rsidRPr="00875906" w:rsidRDefault="000A3E83">
      <w:pPr>
        <w:rPr>
          <w:rFonts w:ascii="Times New Roman" w:hAnsi="Times New Roman" w:cs="Times New Roman"/>
        </w:rPr>
      </w:pPr>
    </w:p>
    <w:p w14:paraId="2042C22A" w14:textId="77777777" w:rsidR="000A3E83" w:rsidRPr="00875906" w:rsidRDefault="000A3E83">
      <w:pPr>
        <w:rPr>
          <w:rFonts w:ascii="Times New Roman" w:hAnsi="Times New Roman" w:cs="Times New Roman"/>
        </w:rPr>
      </w:pPr>
    </w:p>
    <w:p w14:paraId="3C1F83AC" w14:textId="77777777" w:rsidR="000A3E83" w:rsidRPr="00875906" w:rsidRDefault="00000000">
      <w:pPr>
        <w:jc w:val="center"/>
        <w:rPr>
          <w:rFonts w:ascii="Times New Roman" w:hAnsi="Times New Roman" w:cs="Times New Roman"/>
        </w:rPr>
      </w:pPr>
      <w:r>
        <w:rPr>
          <w:rFonts w:ascii="Times New Roman" w:hAnsi="Times New Roman" w:cs="Times New Roman"/>
          <w:i/>
          <w:noProof/>
          <w:color w:val="0070C0"/>
          <w:lang w:val="en-US" w:eastAsia="en-US"/>
        </w:rPr>
        <w:pict w14:anchorId="50702D98">
          <v:shape id="Slika 2" o:spid="_x0000_i1026" type="#_x0000_t75" style="width:99.75pt;height:111.75pt;visibility:visible;mso-wrap-style:square">
            <v:imagedata r:id="rId8" o:title="" croptop="-16f" cropbottom="-16f" cropleft="-18f" cropright="-18f"/>
          </v:shape>
        </w:pict>
      </w:r>
    </w:p>
    <w:p w14:paraId="200B4317" w14:textId="77777777" w:rsidR="000A3E83" w:rsidRPr="00875906" w:rsidRDefault="000A3E83">
      <w:pPr>
        <w:rPr>
          <w:rFonts w:ascii="Times New Roman" w:hAnsi="Times New Roman" w:cs="Times New Roman"/>
        </w:rPr>
      </w:pPr>
    </w:p>
    <w:p w14:paraId="6B198885" w14:textId="77777777" w:rsidR="000A3E83" w:rsidRPr="00875906" w:rsidRDefault="000A3E83">
      <w:pPr>
        <w:rPr>
          <w:rFonts w:ascii="Times New Roman" w:hAnsi="Times New Roman" w:cs="Times New Roman"/>
        </w:rPr>
      </w:pPr>
    </w:p>
    <w:p w14:paraId="4D9734E0"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UPUTE ZA IZRADU PRORAČUNA</w:t>
      </w:r>
    </w:p>
    <w:p w14:paraId="3CD45835"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OPĆINE KAMANJE I FINANCIJSKIH PLANOVA PRORAČUNSKIH KORISNIKA OPĆINE KAMANJE</w:t>
      </w:r>
    </w:p>
    <w:p w14:paraId="3948B322" w14:textId="77777777" w:rsidR="000A3E83" w:rsidRPr="00875906" w:rsidRDefault="000A3E83">
      <w:pPr>
        <w:jc w:val="center"/>
        <w:rPr>
          <w:rFonts w:ascii="Times New Roman" w:hAnsi="Times New Roman" w:cs="Times New Roman"/>
          <w:b/>
          <w:bCs/>
        </w:rPr>
      </w:pPr>
    </w:p>
    <w:p w14:paraId="350CFCF0" w14:textId="77777777" w:rsidR="000A3E83" w:rsidRPr="00875906" w:rsidRDefault="008C7E91">
      <w:pPr>
        <w:jc w:val="center"/>
        <w:rPr>
          <w:rFonts w:ascii="Times New Roman" w:hAnsi="Times New Roman" w:cs="Times New Roman"/>
        </w:rPr>
      </w:pPr>
      <w:r w:rsidRPr="00875906">
        <w:rPr>
          <w:rFonts w:ascii="Times New Roman" w:hAnsi="Times New Roman" w:cs="Times New Roman"/>
          <w:b/>
          <w:bCs/>
        </w:rPr>
        <w:t>za razdoblje 2027. – 2029. godine</w:t>
      </w:r>
    </w:p>
    <w:p w14:paraId="4E505801" w14:textId="77777777" w:rsidR="000A3E83" w:rsidRPr="00875906" w:rsidRDefault="000A3E83">
      <w:pPr>
        <w:jc w:val="center"/>
        <w:rPr>
          <w:rFonts w:ascii="Times New Roman" w:hAnsi="Times New Roman" w:cs="Times New Roman"/>
          <w:b/>
          <w:bCs/>
        </w:rPr>
      </w:pPr>
    </w:p>
    <w:p w14:paraId="7B4D0FE0" w14:textId="77777777" w:rsidR="000A3E83" w:rsidRPr="00875906" w:rsidRDefault="000A3E83">
      <w:pPr>
        <w:jc w:val="center"/>
        <w:rPr>
          <w:rFonts w:ascii="Times New Roman" w:hAnsi="Times New Roman" w:cs="Times New Roman"/>
          <w:b/>
          <w:bCs/>
        </w:rPr>
      </w:pPr>
    </w:p>
    <w:p w14:paraId="56670BB2" w14:textId="77777777" w:rsidR="000A3E83" w:rsidRDefault="000A3E83">
      <w:pPr>
        <w:jc w:val="center"/>
        <w:rPr>
          <w:rFonts w:ascii="Times New Roman" w:hAnsi="Times New Roman" w:cs="Times New Roman"/>
          <w:b/>
          <w:bCs/>
        </w:rPr>
      </w:pPr>
    </w:p>
    <w:p w14:paraId="4A38874D" w14:textId="77777777" w:rsidR="00875906" w:rsidRDefault="00875906">
      <w:pPr>
        <w:jc w:val="center"/>
        <w:rPr>
          <w:rFonts w:ascii="Times New Roman" w:hAnsi="Times New Roman" w:cs="Times New Roman"/>
          <w:b/>
          <w:bCs/>
        </w:rPr>
      </w:pPr>
    </w:p>
    <w:p w14:paraId="75AB746E" w14:textId="77777777" w:rsidR="00875906" w:rsidRDefault="00875906">
      <w:pPr>
        <w:jc w:val="center"/>
        <w:rPr>
          <w:rFonts w:ascii="Times New Roman" w:hAnsi="Times New Roman" w:cs="Times New Roman"/>
          <w:b/>
          <w:bCs/>
        </w:rPr>
      </w:pPr>
    </w:p>
    <w:p w14:paraId="4D9E8989" w14:textId="77777777" w:rsidR="00875906" w:rsidRDefault="00875906">
      <w:pPr>
        <w:jc w:val="center"/>
        <w:rPr>
          <w:rFonts w:ascii="Times New Roman" w:hAnsi="Times New Roman" w:cs="Times New Roman"/>
          <w:b/>
          <w:bCs/>
        </w:rPr>
      </w:pPr>
    </w:p>
    <w:p w14:paraId="560F240F" w14:textId="77777777" w:rsidR="00875906" w:rsidRDefault="00875906">
      <w:pPr>
        <w:jc w:val="center"/>
        <w:rPr>
          <w:rFonts w:ascii="Times New Roman" w:hAnsi="Times New Roman" w:cs="Times New Roman"/>
          <w:b/>
          <w:bCs/>
        </w:rPr>
      </w:pPr>
    </w:p>
    <w:p w14:paraId="1DE744BE" w14:textId="77777777" w:rsidR="00875906" w:rsidRPr="00875906" w:rsidRDefault="00875906">
      <w:pPr>
        <w:jc w:val="center"/>
        <w:rPr>
          <w:rFonts w:ascii="Times New Roman" w:hAnsi="Times New Roman" w:cs="Times New Roman"/>
          <w:b/>
          <w:bCs/>
        </w:rPr>
      </w:pPr>
    </w:p>
    <w:p w14:paraId="4C44F913" w14:textId="77777777" w:rsidR="000A3E83" w:rsidRPr="00875906" w:rsidRDefault="000A3E83">
      <w:pPr>
        <w:jc w:val="center"/>
        <w:rPr>
          <w:rFonts w:ascii="Times New Roman" w:hAnsi="Times New Roman" w:cs="Times New Roman"/>
          <w:b/>
          <w:bCs/>
        </w:rPr>
      </w:pPr>
    </w:p>
    <w:p w14:paraId="0D1435C2" w14:textId="77777777" w:rsidR="000A3E83" w:rsidRPr="00875906" w:rsidRDefault="000A3E83">
      <w:pPr>
        <w:jc w:val="center"/>
        <w:rPr>
          <w:rFonts w:ascii="Times New Roman" w:hAnsi="Times New Roman" w:cs="Times New Roman"/>
          <w:b/>
          <w:bCs/>
        </w:rPr>
      </w:pPr>
    </w:p>
    <w:p w14:paraId="5B5EFD83" w14:textId="77777777" w:rsidR="000A3E83" w:rsidRPr="00875906" w:rsidRDefault="000A3E83">
      <w:pPr>
        <w:jc w:val="center"/>
        <w:rPr>
          <w:rFonts w:ascii="Times New Roman" w:hAnsi="Times New Roman" w:cs="Times New Roman"/>
          <w:b/>
          <w:bCs/>
        </w:rPr>
      </w:pPr>
    </w:p>
    <w:p w14:paraId="6630609B" w14:textId="77777777" w:rsidR="000A3E83" w:rsidRPr="00875906" w:rsidRDefault="000A3E83">
      <w:pPr>
        <w:jc w:val="center"/>
        <w:rPr>
          <w:rFonts w:ascii="Times New Roman" w:hAnsi="Times New Roman" w:cs="Times New Roman"/>
          <w:b/>
          <w:bCs/>
        </w:rPr>
      </w:pPr>
    </w:p>
    <w:p w14:paraId="68F7083A" w14:textId="77777777" w:rsidR="000A3E83" w:rsidRPr="00875906" w:rsidRDefault="000A3E83">
      <w:pPr>
        <w:rPr>
          <w:rFonts w:ascii="Times New Roman" w:hAnsi="Times New Roman" w:cs="Times New Roman"/>
          <w:b/>
          <w:bCs/>
        </w:rPr>
      </w:pPr>
    </w:p>
    <w:p w14:paraId="680384D1" w14:textId="77777777" w:rsidR="000A3E83" w:rsidRPr="00875906" w:rsidRDefault="008C7E91">
      <w:pPr>
        <w:jc w:val="center"/>
        <w:rPr>
          <w:rFonts w:ascii="Times New Roman" w:hAnsi="Times New Roman" w:cs="Times New Roman"/>
        </w:rPr>
      </w:pPr>
      <w:r w:rsidRPr="00875906">
        <w:rPr>
          <w:rFonts w:ascii="Times New Roman" w:hAnsi="Times New Roman" w:cs="Times New Roman"/>
        </w:rPr>
        <w:t>Kamanje, listopad 2026. godine</w:t>
      </w:r>
    </w:p>
    <w:p w14:paraId="6A0B2768"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_____________________________________________</w:t>
      </w:r>
    </w:p>
    <w:p w14:paraId="48F3A6AF" w14:textId="77777777" w:rsidR="000A3E83" w:rsidRPr="00875906" w:rsidRDefault="008C7E91">
      <w:pPr>
        <w:rPr>
          <w:rFonts w:ascii="Times New Roman" w:hAnsi="Times New Roman" w:cs="Times New Roman"/>
        </w:rPr>
      </w:pPr>
      <w:r w:rsidRPr="00875906">
        <w:rPr>
          <w:rFonts w:ascii="Times New Roman" w:eastAsia="Times New Roman" w:hAnsi="Times New Roman" w:cs="Times New Roman"/>
        </w:rPr>
        <w:t xml:space="preserve">                                   </w:t>
      </w:r>
    </w:p>
    <w:p w14:paraId="464E629D" w14:textId="77777777" w:rsidR="000A3E83" w:rsidRPr="00875906" w:rsidRDefault="000A3E83">
      <w:pPr>
        <w:rPr>
          <w:rFonts w:ascii="Times New Roman" w:hAnsi="Times New Roman" w:cs="Times New Roman"/>
        </w:rPr>
      </w:pPr>
    </w:p>
    <w:p w14:paraId="4829EF1C" w14:textId="77777777" w:rsidR="000A3E83" w:rsidRPr="00875906" w:rsidRDefault="008C7E91">
      <w:pPr>
        <w:rPr>
          <w:rFonts w:ascii="Times New Roman" w:hAnsi="Times New Roman" w:cs="Times New Roman"/>
        </w:rPr>
      </w:pPr>
      <w:r w:rsidRPr="00875906">
        <w:rPr>
          <w:rFonts w:ascii="Times New Roman" w:eastAsia="Times New Roman" w:hAnsi="Times New Roman" w:cs="Times New Roman"/>
        </w:rPr>
        <w:t xml:space="preserve">              </w:t>
      </w:r>
    </w:p>
    <w:p w14:paraId="0BC6E95B" w14:textId="77777777" w:rsidR="000A3E83" w:rsidRPr="00875906" w:rsidRDefault="000A3E83">
      <w:pPr>
        <w:rPr>
          <w:rFonts w:ascii="Times New Roman" w:hAnsi="Times New Roman" w:cs="Times New Roman"/>
        </w:rPr>
      </w:pPr>
    </w:p>
    <w:p w14:paraId="68F2F5EA" w14:textId="77777777" w:rsidR="000A3E83" w:rsidRPr="00875906" w:rsidRDefault="000A3E83">
      <w:pPr>
        <w:rPr>
          <w:rFonts w:ascii="Times New Roman" w:hAnsi="Times New Roman" w:cs="Times New Roman"/>
        </w:rPr>
      </w:pPr>
    </w:p>
    <w:p w14:paraId="4BD0F224" w14:textId="77777777" w:rsidR="000A3E83" w:rsidRPr="00875906" w:rsidRDefault="008C7E91">
      <w:pPr>
        <w:pStyle w:val="TOCNaslov1"/>
        <w:jc w:val="center"/>
        <w:rPr>
          <w:rFonts w:ascii="Times New Roman" w:hAnsi="Times New Roman"/>
          <w:sz w:val="22"/>
          <w:szCs w:val="22"/>
        </w:rPr>
      </w:pPr>
      <w:r w:rsidRPr="00875906">
        <w:rPr>
          <w:rFonts w:ascii="Times New Roman" w:hAnsi="Times New Roman"/>
          <w:sz w:val="22"/>
          <w:szCs w:val="22"/>
        </w:rPr>
        <w:lastRenderedPageBreak/>
        <w:t>Sadržaj</w:t>
      </w:r>
    </w:p>
    <w:p w14:paraId="29E62AA4" w14:textId="77777777" w:rsidR="00A0140C" w:rsidRPr="008C7E91" w:rsidRDefault="008C7E91">
      <w:pPr>
        <w:pStyle w:val="Sadraj1"/>
        <w:tabs>
          <w:tab w:val="left" w:pos="440"/>
          <w:tab w:val="right" w:leader="dot" w:pos="9062"/>
        </w:tabs>
        <w:rPr>
          <w:rFonts w:ascii="Arial" w:eastAsia="Times New Roman" w:hAnsi="Arial" w:cs="Times New Roman"/>
          <w:noProof/>
          <w:lang w:eastAsia="hr-HR"/>
        </w:rPr>
      </w:pPr>
      <w:r w:rsidRPr="00875906">
        <w:fldChar w:fldCharType="begin"/>
      </w:r>
      <w:r w:rsidRPr="00875906">
        <w:rPr>
          <w:rStyle w:val="IndexLink"/>
          <w:rFonts w:ascii="Times New Roman" w:hAnsi="Times New Roman" w:cs="Times New Roman"/>
          <w:lang w:val="en-US" w:eastAsia="en-US"/>
        </w:rPr>
        <w:instrText xml:space="preserve"> TOC \o "1-3" \h \z \u </w:instrText>
      </w:r>
      <w:r w:rsidRPr="00875906">
        <w:rPr>
          <w:rStyle w:val="IndexLink"/>
          <w:rFonts w:ascii="Times New Roman" w:hAnsi="Times New Roman" w:cs="Times New Roman"/>
          <w:lang w:val="en-US" w:eastAsia="en-US"/>
        </w:rPr>
        <w:fldChar w:fldCharType="separate"/>
      </w:r>
      <w:hyperlink w:anchor="_Toc244201158" w:history="1">
        <w:r w:rsidR="00A0140C" w:rsidRPr="009A6F39">
          <w:rPr>
            <w:rStyle w:val="Hiperveza"/>
            <w:rFonts w:ascii="Times New Roman" w:hAnsi="Times New Roman"/>
            <w:noProof/>
          </w:rPr>
          <w:t>A.</w:t>
        </w:r>
        <w:r w:rsidR="00A0140C" w:rsidRPr="008C7E91">
          <w:rPr>
            <w:rFonts w:ascii="Arial" w:eastAsia="Times New Roman" w:hAnsi="Arial" w:cs="Times New Roman"/>
            <w:noProof/>
            <w:lang w:eastAsia="hr-HR"/>
          </w:rPr>
          <w:tab/>
        </w:r>
        <w:r w:rsidR="00A0140C" w:rsidRPr="009A6F39">
          <w:rPr>
            <w:rStyle w:val="Hiperveza"/>
            <w:rFonts w:ascii="Times New Roman" w:hAnsi="Times New Roman"/>
            <w:noProof/>
          </w:rPr>
          <w:t>UVOD</w:t>
        </w:r>
        <w:r w:rsidR="00A0140C">
          <w:rPr>
            <w:noProof/>
            <w:webHidden/>
          </w:rPr>
          <w:tab/>
        </w:r>
        <w:r w:rsidR="00A0140C">
          <w:rPr>
            <w:noProof/>
            <w:webHidden/>
          </w:rPr>
          <w:fldChar w:fldCharType="begin"/>
        </w:r>
        <w:r w:rsidR="00A0140C">
          <w:rPr>
            <w:noProof/>
            <w:webHidden/>
          </w:rPr>
          <w:instrText xml:space="preserve"> PAGEREF _Toc244201158 \h </w:instrText>
        </w:r>
        <w:r w:rsidR="00A0140C">
          <w:rPr>
            <w:noProof/>
            <w:webHidden/>
          </w:rPr>
        </w:r>
        <w:r w:rsidR="00A0140C">
          <w:rPr>
            <w:noProof/>
            <w:webHidden/>
          </w:rPr>
          <w:fldChar w:fldCharType="separate"/>
        </w:r>
        <w:r w:rsidR="00A0140C">
          <w:rPr>
            <w:noProof/>
            <w:webHidden/>
          </w:rPr>
          <w:t>2</w:t>
        </w:r>
        <w:r w:rsidR="00A0140C">
          <w:rPr>
            <w:noProof/>
            <w:webHidden/>
          </w:rPr>
          <w:fldChar w:fldCharType="end"/>
        </w:r>
      </w:hyperlink>
    </w:p>
    <w:p w14:paraId="7DFEAE11" w14:textId="77777777" w:rsidR="00A0140C" w:rsidRPr="008C7E91" w:rsidRDefault="00A0140C">
      <w:pPr>
        <w:pStyle w:val="Sadraj1"/>
        <w:tabs>
          <w:tab w:val="left" w:pos="440"/>
          <w:tab w:val="right" w:leader="dot" w:pos="9062"/>
        </w:tabs>
        <w:rPr>
          <w:rFonts w:ascii="Arial" w:eastAsia="Times New Roman" w:hAnsi="Arial" w:cs="Times New Roman"/>
          <w:noProof/>
          <w:lang w:eastAsia="hr-HR"/>
        </w:rPr>
      </w:pPr>
      <w:hyperlink w:anchor="_Toc244201159" w:history="1">
        <w:r w:rsidRPr="009A6F39">
          <w:rPr>
            <w:rStyle w:val="Hiperveza"/>
            <w:rFonts w:ascii="Times New Roman" w:hAnsi="Times New Roman"/>
            <w:noProof/>
          </w:rPr>
          <w:t>1.</w:t>
        </w:r>
        <w:r w:rsidRPr="008C7E91">
          <w:rPr>
            <w:rFonts w:ascii="Arial" w:eastAsia="Times New Roman" w:hAnsi="Arial" w:cs="Times New Roman"/>
            <w:noProof/>
            <w:lang w:eastAsia="hr-HR"/>
          </w:rPr>
          <w:tab/>
        </w:r>
        <w:r w:rsidRPr="009A6F39">
          <w:rPr>
            <w:rStyle w:val="Hiperveza"/>
            <w:rFonts w:ascii="Times New Roman" w:hAnsi="Times New Roman"/>
            <w:noProof/>
          </w:rPr>
          <w:t>TEMELJNE MAKROEKONOMSKE PRETPOSTAVKE ZA IZRADU PRIJEDLOGA PRORAČUNA</w:t>
        </w:r>
        <w:r>
          <w:rPr>
            <w:noProof/>
            <w:webHidden/>
          </w:rPr>
          <w:tab/>
        </w:r>
        <w:r>
          <w:rPr>
            <w:noProof/>
            <w:webHidden/>
          </w:rPr>
          <w:fldChar w:fldCharType="begin"/>
        </w:r>
        <w:r>
          <w:rPr>
            <w:noProof/>
            <w:webHidden/>
          </w:rPr>
          <w:instrText xml:space="preserve"> PAGEREF _Toc244201159 \h </w:instrText>
        </w:r>
        <w:r>
          <w:rPr>
            <w:noProof/>
            <w:webHidden/>
          </w:rPr>
        </w:r>
        <w:r>
          <w:rPr>
            <w:noProof/>
            <w:webHidden/>
          </w:rPr>
          <w:fldChar w:fldCharType="separate"/>
        </w:r>
        <w:r>
          <w:rPr>
            <w:noProof/>
            <w:webHidden/>
          </w:rPr>
          <w:t>4</w:t>
        </w:r>
        <w:r>
          <w:rPr>
            <w:noProof/>
            <w:webHidden/>
          </w:rPr>
          <w:fldChar w:fldCharType="end"/>
        </w:r>
      </w:hyperlink>
    </w:p>
    <w:p w14:paraId="2E68AFDF" w14:textId="77777777" w:rsidR="00A0140C" w:rsidRPr="008C7E91" w:rsidRDefault="00A0140C">
      <w:pPr>
        <w:pStyle w:val="Sadraj1"/>
        <w:tabs>
          <w:tab w:val="left" w:pos="440"/>
          <w:tab w:val="right" w:leader="dot" w:pos="9062"/>
        </w:tabs>
        <w:rPr>
          <w:rFonts w:ascii="Arial" w:eastAsia="Times New Roman" w:hAnsi="Arial" w:cs="Times New Roman"/>
          <w:noProof/>
          <w:lang w:eastAsia="hr-HR"/>
        </w:rPr>
      </w:pPr>
      <w:hyperlink w:anchor="_Toc244201160" w:history="1">
        <w:r w:rsidRPr="009A6F39">
          <w:rPr>
            <w:rStyle w:val="Hiperveza"/>
            <w:rFonts w:ascii="Times New Roman" w:hAnsi="Times New Roman"/>
            <w:noProof/>
            <w:lang w:eastAsia="en-US"/>
          </w:rPr>
          <w:t>2.</w:t>
        </w:r>
        <w:r w:rsidRPr="008C7E91">
          <w:rPr>
            <w:rFonts w:ascii="Arial" w:eastAsia="Times New Roman" w:hAnsi="Arial" w:cs="Times New Roman"/>
            <w:noProof/>
            <w:lang w:eastAsia="hr-HR"/>
          </w:rPr>
          <w:tab/>
        </w:r>
        <w:r w:rsidRPr="009A6F39">
          <w:rPr>
            <w:rStyle w:val="Hiperveza"/>
            <w:rFonts w:ascii="Times New Roman" w:hAnsi="Times New Roman"/>
            <w:noProof/>
            <w:lang w:eastAsia="en-US"/>
          </w:rPr>
          <w:t>OPIS PLANIRANIH POLITIKA OPĆINE KAMANJE</w:t>
        </w:r>
        <w:r>
          <w:rPr>
            <w:noProof/>
            <w:webHidden/>
          </w:rPr>
          <w:tab/>
        </w:r>
        <w:r>
          <w:rPr>
            <w:noProof/>
            <w:webHidden/>
          </w:rPr>
          <w:fldChar w:fldCharType="begin"/>
        </w:r>
        <w:r>
          <w:rPr>
            <w:noProof/>
            <w:webHidden/>
          </w:rPr>
          <w:instrText xml:space="preserve"> PAGEREF _Toc244201160 \h </w:instrText>
        </w:r>
        <w:r>
          <w:rPr>
            <w:noProof/>
            <w:webHidden/>
          </w:rPr>
        </w:r>
        <w:r>
          <w:rPr>
            <w:noProof/>
            <w:webHidden/>
          </w:rPr>
          <w:fldChar w:fldCharType="separate"/>
        </w:r>
        <w:r>
          <w:rPr>
            <w:noProof/>
            <w:webHidden/>
          </w:rPr>
          <w:t>4</w:t>
        </w:r>
        <w:r>
          <w:rPr>
            <w:noProof/>
            <w:webHidden/>
          </w:rPr>
          <w:fldChar w:fldCharType="end"/>
        </w:r>
      </w:hyperlink>
    </w:p>
    <w:p w14:paraId="012FD4DC" w14:textId="77777777" w:rsidR="00A0140C" w:rsidRPr="008C7E91" w:rsidRDefault="00A0140C">
      <w:pPr>
        <w:pStyle w:val="Sadraj1"/>
        <w:tabs>
          <w:tab w:val="left" w:pos="440"/>
          <w:tab w:val="right" w:leader="dot" w:pos="9062"/>
        </w:tabs>
        <w:rPr>
          <w:rFonts w:ascii="Arial" w:eastAsia="Times New Roman" w:hAnsi="Arial" w:cs="Times New Roman"/>
          <w:noProof/>
          <w:lang w:eastAsia="hr-HR"/>
        </w:rPr>
      </w:pPr>
      <w:hyperlink w:anchor="_Toc244201161" w:history="1">
        <w:r w:rsidRPr="009A6F39">
          <w:rPr>
            <w:rStyle w:val="Hiperveza"/>
            <w:rFonts w:ascii="Times New Roman" w:hAnsi="Times New Roman"/>
            <w:noProof/>
            <w:lang w:eastAsia="en-US"/>
          </w:rPr>
          <w:t>3.</w:t>
        </w:r>
        <w:r w:rsidRPr="008C7E91">
          <w:rPr>
            <w:rFonts w:ascii="Arial" w:eastAsia="Times New Roman" w:hAnsi="Arial" w:cs="Times New Roman"/>
            <w:noProof/>
            <w:lang w:eastAsia="hr-HR"/>
          </w:rPr>
          <w:tab/>
        </w:r>
        <w:r w:rsidRPr="009A6F39">
          <w:rPr>
            <w:rStyle w:val="Hiperveza"/>
            <w:rFonts w:ascii="Times New Roman" w:hAnsi="Times New Roman"/>
            <w:noProof/>
            <w:lang w:eastAsia="en-US"/>
          </w:rPr>
          <w:t>PROCJENA PRIHODA I RASHODA TE PRIMITAKA I IZDATAKA PRORAČUNA OPĆINE KAMANJE ZA RAZDOBLJE 2027.-2029.</w:t>
        </w:r>
        <w:r>
          <w:rPr>
            <w:noProof/>
            <w:webHidden/>
          </w:rPr>
          <w:tab/>
        </w:r>
        <w:r>
          <w:rPr>
            <w:noProof/>
            <w:webHidden/>
          </w:rPr>
          <w:fldChar w:fldCharType="begin"/>
        </w:r>
        <w:r>
          <w:rPr>
            <w:noProof/>
            <w:webHidden/>
          </w:rPr>
          <w:instrText xml:space="preserve"> PAGEREF _Toc244201161 \h </w:instrText>
        </w:r>
        <w:r>
          <w:rPr>
            <w:noProof/>
            <w:webHidden/>
          </w:rPr>
        </w:r>
        <w:r>
          <w:rPr>
            <w:noProof/>
            <w:webHidden/>
          </w:rPr>
          <w:fldChar w:fldCharType="separate"/>
        </w:r>
        <w:r>
          <w:rPr>
            <w:noProof/>
            <w:webHidden/>
          </w:rPr>
          <w:t>5</w:t>
        </w:r>
        <w:r>
          <w:rPr>
            <w:noProof/>
            <w:webHidden/>
          </w:rPr>
          <w:fldChar w:fldCharType="end"/>
        </w:r>
      </w:hyperlink>
    </w:p>
    <w:p w14:paraId="23059D0B" w14:textId="77777777" w:rsidR="00A0140C" w:rsidRPr="008C7E91" w:rsidRDefault="00A0140C">
      <w:pPr>
        <w:pStyle w:val="Sadraj2"/>
        <w:rPr>
          <w:rFonts w:ascii="Arial" w:eastAsia="Times New Roman" w:hAnsi="Arial" w:cs="Times New Roman"/>
          <w:noProof/>
          <w:lang w:eastAsia="hr-HR"/>
        </w:rPr>
      </w:pPr>
      <w:hyperlink w:anchor="_Toc244201162" w:history="1">
        <w:r w:rsidRPr="009A6F39">
          <w:rPr>
            <w:rStyle w:val="Hiperveza"/>
            <w:rFonts w:ascii="Times New Roman" w:hAnsi="Times New Roman"/>
            <w:noProof/>
          </w:rPr>
          <w:t>4.</w:t>
        </w:r>
        <w:r w:rsidRPr="008C7E91">
          <w:rPr>
            <w:rFonts w:ascii="Arial" w:eastAsia="Times New Roman" w:hAnsi="Arial" w:cs="Times New Roman"/>
            <w:noProof/>
            <w:lang w:eastAsia="hr-HR"/>
          </w:rPr>
          <w:tab/>
        </w:r>
        <w:r w:rsidRPr="009A6F39">
          <w:rPr>
            <w:rStyle w:val="Hiperveza"/>
            <w:rFonts w:ascii="Times New Roman" w:hAnsi="Times New Roman"/>
            <w:noProof/>
          </w:rPr>
          <w:t>VISINA RASHODA KOJI SE FINANCIRAJU IZ OPĆIH PRIHODA I PRIMITAKA TE NAMJENSKIH PRIMITAKA PO RAZDJELIMA ORGANIZACIJSKE KLASIFIKACIJE, 2027.-2029.- Limiti proračunski korisnici</w:t>
        </w:r>
        <w:r>
          <w:rPr>
            <w:noProof/>
            <w:webHidden/>
          </w:rPr>
          <w:tab/>
        </w:r>
        <w:r>
          <w:rPr>
            <w:noProof/>
            <w:webHidden/>
          </w:rPr>
          <w:fldChar w:fldCharType="begin"/>
        </w:r>
        <w:r>
          <w:rPr>
            <w:noProof/>
            <w:webHidden/>
          </w:rPr>
          <w:instrText xml:space="preserve"> PAGEREF _Toc244201162 \h </w:instrText>
        </w:r>
        <w:r>
          <w:rPr>
            <w:noProof/>
            <w:webHidden/>
          </w:rPr>
        </w:r>
        <w:r>
          <w:rPr>
            <w:noProof/>
            <w:webHidden/>
          </w:rPr>
          <w:fldChar w:fldCharType="separate"/>
        </w:r>
        <w:r>
          <w:rPr>
            <w:noProof/>
            <w:webHidden/>
          </w:rPr>
          <w:t>6</w:t>
        </w:r>
        <w:r>
          <w:rPr>
            <w:noProof/>
            <w:webHidden/>
          </w:rPr>
          <w:fldChar w:fldCharType="end"/>
        </w:r>
      </w:hyperlink>
    </w:p>
    <w:p w14:paraId="29666D6A" w14:textId="77777777" w:rsidR="00A0140C" w:rsidRPr="008C7E91" w:rsidRDefault="00A0140C">
      <w:pPr>
        <w:pStyle w:val="Sadraj1"/>
        <w:tabs>
          <w:tab w:val="left" w:pos="440"/>
          <w:tab w:val="right" w:leader="dot" w:pos="9062"/>
        </w:tabs>
        <w:rPr>
          <w:rFonts w:ascii="Arial" w:eastAsia="Times New Roman" w:hAnsi="Arial" w:cs="Times New Roman"/>
          <w:noProof/>
          <w:lang w:eastAsia="hr-HR"/>
        </w:rPr>
      </w:pPr>
      <w:hyperlink w:anchor="_Toc244201163" w:history="1">
        <w:r w:rsidRPr="009A6F39">
          <w:rPr>
            <w:rStyle w:val="Hiperveza"/>
            <w:rFonts w:ascii="Times New Roman" w:hAnsi="Times New Roman"/>
            <w:noProof/>
          </w:rPr>
          <w:t>5.</w:t>
        </w:r>
        <w:r w:rsidRPr="008C7E91">
          <w:rPr>
            <w:rFonts w:ascii="Arial" w:eastAsia="Times New Roman" w:hAnsi="Arial" w:cs="Times New Roman"/>
            <w:noProof/>
            <w:lang w:eastAsia="hr-HR"/>
          </w:rPr>
          <w:tab/>
        </w:r>
        <w:r w:rsidRPr="009A6F39">
          <w:rPr>
            <w:rStyle w:val="Hiperveza"/>
            <w:rFonts w:ascii="Times New Roman" w:hAnsi="Times New Roman"/>
            <w:noProof/>
          </w:rPr>
          <w:t>NAČIN IZRADE PRIJEDLOGA PRORAČUNA / FINANCIJSKIH PLANOVA PRORAČUNSKIH KORISNIKA OPĆINE KAMANJE</w:t>
        </w:r>
        <w:r>
          <w:rPr>
            <w:noProof/>
            <w:webHidden/>
          </w:rPr>
          <w:tab/>
        </w:r>
        <w:r>
          <w:rPr>
            <w:noProof/>
            <w:webHidden/>
          </w:rPr>
          <w:fldChar w:fldCharType="begin"/>
        </w:r>
        <w:r>
          <w:rPr>
            <w:noProof/>
            <w:webHidden/>
          </w:rPr>
          <w:instrText xml:space="preserve"> PAGEREF _Toc244201163 \h </w:instrText>
        </w:r>
        <w:r>
          <w:rPr>
            <w:noProof/>
            <w:webHidden/>
          </w:rPr>
        </w:r>
        <w:r>
          <w:rPr>
            <w:noProof/>
            <w:webHidden/>
          </w:rPr>
          <w:fldChar w:fldCharType="separate"/>
        </w:r>
        <w:r>
          <w:rPr>
            <w:noProof/>
            <w:webHidden/>
          </w:rPr>
          <w:t>7</w:t>
        </w:r>
        <w:r>
          <w:rPr>
            <w:noProof/>
            <w:webHidden/>
          </w:rPr>
          <w:fldChar w:fldCharType="end"/>
        </w:r>
      </w:hyperlink>
    </w:p>
    <w:p w14:paraId="5980463F" w14:textId="77777777" w:rsidR="00A0140C" w:rsidRPr="008C7E91" w:rsidRDefault="00A0140C">
      <w:pPr>
        <w:pStyle w:val="Sadraj2"/>
        <w:rPr>
          <w:rFonts w:ascii="Arial" w:eastAsia="Times New Roman" w:hAnsi="Arial" w:cs="Times New Roman"/>
          <w:noProof/>
          <w:lang w:eastAsia="hr-HR"/>
        </w:rPr>
      </w:pPr>
      <w:hyperlink w:anchor="_Toc244201164" w:history="1">
        <w:r w:rsidRPr="009A6F39">
          <w:rPr>
            <w:rStyle w:val="Hiperveza"/>
            <w:rFonts w:ascii="Times New Roman" w:hAnsi="Times New Roman"/>
            <w:noProof/>
          </w:rPr>
          <w:t>5.1.  Sadržaj proračuna Općine Kamanje 2027.-2029.</w:t>
        </w:r>
        <w:r>
          <w:rPr>
            <w:noProof/>
            <w:webHidden/>
          </w:rPr>
          <w:tab/>
        </w:r>
        <w:r>
          <w:rPr>
            <w:noProof/>
            <w:webHidden/>
          </w:rPr>
          <w:fldChar w:fldCharType="begin"/>
        </w:r>
        <w:r>
          <w:rPr>
            <w:noProof/>
            <w:webHidden/>
          </w:rPr>
          <w:instrText xml:space="preserve"> PAGEREF _Toc244201164 \h </w:instrText>
        </w:r>
        <w:r>
          <w:rPr>
            <w:noProof/>
            <w:webHidden/>
          </w:rPr>
        </w:r>
        <w:r>
          <w:rPr>
            <w:noProof/>
            <w:webHidden/>
          </w:rPr>
          <w:fldChar w:fldCharType="separate"/>
        </w:r>
        <w:r>
          <w:rPr>
            <w:noProof/>
            <w:webHidden/>
          </w:rPr>
          <w:t>7</w:t>
        </w:r>
        <w:r>
          <w:rPr>
            <w:noProof/>
            <w:webHidden/>
          </w:rPr>
          <w:fldChar w:fldCharType="end"/>
        </w:r>
      </w:hyperlink>
    </w:p>
    <w:p w14:paraId="2913D311" w14:textId="77777777" w:rsidR="00A0140C" w:rsidRPr="008C7E91" w:rsidRDefault="00A0140C">
      <w:pPr>
        <w:pStyle w:val="Sadraj2"/>
        <w:rPr>
          <w:rFonts w:ascii="Arial" w:eastAsia="Times New Roman" w:hAnsi="Arial" w:cs="Times New Roman"/>
          <w:noProof/>
          <w:lang w:eastAsia="hr-HR"/>
        </w:rPr>
      </w:pPr>
      <w:hyperlink w:anchor="_Toc244201165" w:history="1">
        <w:r w:rsidRPr="009A6F39">
          <w:rPr>
            <w:rStyle w:val="Hiperveza"/>
            <w:rFonts w:ascii="Times New Roman" w:hAnsi="Times New Roman"/>
            <w:noProof/>
          </w:rPr>
          <w:t>5.2. Rokovi za predlaganje i donošenje financijskog plana proračunskih korisnika proračuna Općine Kamanje</w:t>
        </w:r>
        <w:r>
          <w:rPr>
            <w:noProof/>
            <w:webHidden/>
          </w:rPr>
          <w:tab/>
        </w:r>
        <w:r>
          <w:rPr>
            <w:noProof/>
            <w:webHidden/>
          </w:rPr>
          <w:fldChar w:fldCharType="begin"/>
        </w:r>
        <w:r>
          <w:rPr>
            <w:noProof/>
            <w:webHidden/>
          </w:rPr>
          <w:instrText xml:space="preserve"> PAGEREF _Toc244201165 \h </w:instrText>
        </w:r>
        <w:r>
          <w:rPr>
            <w:noProof/>
            <w:webHidden/>
          </w:rPr>
        </w:r>
        <w:r>
          <w:rPr>
            <w:noProof/>
            <w:webHidden/>
          </w:rPr>
          <w:fldChar w:fldCharType="separate"/>
        </w:r>
        <w:r>
          <w:rPr>
            <w:noProof/>
            <w:webHidden/>
          </w:rPr>
          <w:t>8</w:t>
        </w:r>
        <w:r>
          <w:rPr>
            <w:noProof/>
            <w:webHidden/>
          </w:rPr>
          <w:fldChar w:fldCharType="end"/>
        </w:r>
      </w:hyperlink>
    </w:p>
    <w:p w14:paraId="7894EBD2" w14:textId="77777777" w:rsidR="00A0140C" w:rsidRPr="008C7E91" w:rsidRDefault="00A0140C">
      <w:pPr>
        <w:pStyle w:val="Sadraj2"/>
        <w:rPr>
          <w:rFonts w:ascii="Arial" w:eastAsia="Times New Roman" w:hAnsi="Arial" w:cs="Times New Roman"/>
          <w:noProof/>
          <w:lang w:eastAsia="hr-HR"/>
        </w:rPr>
      </w:pPr>
      <w:hyperlink w:anchor="_Toc244201166" w:history="1">
        <w:r w:rsidRPr="009A6F39">
          <w:rPr>
            <w:rStyle w:val="Hiperveza"/>
            <w:rFonts w:ascii="Times New Roman" w:hAnsi="Times New Roman"/>
            <w:noProof/>
          </w:rPr>
          <w:t>5.3. Izmjene i dopune proračuna</w:t>
        </w:r>
        <w:r>
          <w:rPr>
            <w:noProof/>
            <w:webHidden/>
          </w:rPr>
          <w:tab/>
        </w:r>
        <w:r>
          <w:rPr>
            <w:noProof/>
            <w:webHidden/>
          </w:rPr>
          <w:fldChar w:fldCharType="begin"/>
        </w:r>
        <w:r>
          <w:rPr>
            <w:noProof/>
            <w:webHidden/>
          </w:rPr>
          <w:instrText xml:space="preserve"> PAGEREF _Toc244201166 \h </w:instrText>
        </w:r>
        <w:r>
          <w:rPr>
            <w:noProof/>
            <w:webHidden/>
          </w:rPr>
        </w:r>
        <w:r>
          <w:rPr>
            <w:noProof/>
            <w:webHidden/>
          </w:rPr>
          <w:fldChar w:fldCharType="separate"/>
        </w:r>
        <w:r>
          <w:rPr>
            <w:noProof/>
            <w:webHidden/>
          </w:rPr>
          <w:t>9</w:t>
        </w:r>
        <w:r>
          <w:rPr>
            <w:noProof/>
            <w:webHidden/>
          </w:rPr>
          <w:fldChar w:fldCharType="end"/>
        </w:r>
      </w:hyperlink>
    </w:p>
    <w:p w14:paraId="0427BD6C" w14:textId="77777777" w:rsidR="00A0140C" w:rsidRPr="008C7E91" w:rsidRDefault="00A0140C">
      <w:pPr>
        <w:pStyle w:val="Sadraj2"/>
        <w:rPr>
          <w:rFonts w:ascii="Arial" w:eastAsia="Times New Roman" w:hAnsi="Arial" w:cs="Times New Roman"/>
          <w:noProof/>
          <w:lang w:eastAsia="hr-HR"/>
        </w:rPr>
      </w:pPr>
      <w:hyperlink w:anchor="_Toc244201167" w:history="1">
        <w:r w:rsidRPr="009A6F39">
          <w:rPr>
            <w:rStyle w:val="Hiperveza"/>
            <w:rFonts w:ascii="Times New Roman" w:hAnsi="Times New Roman"/>
            <w:noProof/>
          </w:rPr>
          <w:t>5.4. Izmjene i dopune financijskog plana</w:t>
        </w:r>
        <w:r>
          <w:rPr>
            <w:noProof/>
            <w:webHidden/>
          </w:rPr>
          <w:tab/>
        </w:r>
        <w:r>
          <w:rPr>
            <w:noProof/>
            <w:webHidden/>
          </w:rPr>
          <w:fldChar w:fldCharType="begin"/>
        </w:r>
        <w:r>
          <w:rPr>
            <w:noProof/>
            <w:webHidden/>
          </w:rPr>
          <w:instrText xml:space="preserve"> PAGEREF _Toc244201167 \h </w:instrText>
        </w:r>
        <w:r>
          <w:rPr>
            <w:noProof/>
            <w:webHidden/>
          </w:rPr>
        </w:r>
        <w:r>
          <w:rPr>
            <w:noProof/>
            <w:webHidden/>
          </w:rPr>
          <w:fldChar w:fldCharType="separate"/>
        </w:r>
        <w:r>
          <w:rPr>
            <w:noProof/>
            <w:webHidden/>
          </w:rPr>
          <w:t>9</w:t>
        </w:r>
        <w:r>
          <w:rPr>
            <w:noProof/>
            <w:webHidden/>
          </w:rPr>
          <w:fldChar w:fldCharType="end"/>
        </w:r>
      </w:hyperlink>
    </w:p>
    <w:p w14:paraId="039A7B88" w14:textId="77777777" w:rsidR="00A0140C" w:rsidRPr="008C7E91" w:rsidRDefault="00A0140C">
      <w:pPr>
        <w:pStyle w:val="Sadraj2"/>
        <w:rPr>
          <w:rFonts w:ascii="Arial" w:eastAsia="Times New Roman" w:hAnsi="Arial" w:cs="Times New Roman"/>
          <w:noProof/>
          <w:lang w:eastAsia="hr-HR"/>
        </w:rPr>
      </w:pPr>
      <w:hyperlink w:anchor="_Toc244201168" w:history="1">
        <w:r w:rsidRPr="009A6F39">
          <w:rPr>
            <w:rStyle w:val="Hiperveza"/>
            <w:rFonts w:ascii="Times New Roman" w:hAnsi="Times New Roman"/>
            <w:noProof/>
          </w:rPr>
          <w:t>5.6. Transparentnost proračuna</w:t>
        </w:r>
        <w:r>
          <w:rPr>
            <w:noProof/>
            <w:webHidden/>
          </w:rPr>
          <w:tab/>
        </w:r>
        <w:r>
          <w:rPr>
            <w:noProof/>
            <w:webHidden/>
          </w:rPr>
          <w:fldChar w:fldCharType="begin"/>
        </w:r>
        <w:r>
          <w:rPr>
            <w:noProof/>
            <w:webHidden/>
          </w:rPr>
          <w:instrText xml:space="preserve"> PAGEREF _Toc244201168 \h </w:instrText>
        </w:r>
        <w:r>
          <w:rPr>
            <w:noProof/>
            <w:webHidden/>
          </w:rPr>
        </w:r>
        <w:r>
          <w:rPr>
            <w:noProof/>
            <w:webHidden/>
          </w:rPr>
          <w:fldChar w:fldCharType="separate"/>
        </w:r>
        <w:r>
          <w:rPr>
            <w:noProof/>
            <w:webHidden/>
          </w:rPr>
          <w:t>10</w:t>
        </w:r>
        <w:r>
          <w:rPr>
            <w:noProof/>
            <w:webHidden/>
          </w:rPr>
          <w:fldChar w:fldCharType="end"/>
        </w:r>
      </w:hyperlink>
    </w:p>
    <w:p w14:paraId="5881B2B9" w14:textId="77777777" w:rsidR="00A0140C" w:rsidRPr="008C7E91" w:rsidRDefault="00A0140C">
      <w:pPr>
        <w:pStyle w:val="Sadraj2"/>
        <w:rPr>
          <w:rFonts w:ascii="Arial" w:eastAsia="Times New Roman" w:hAnsi="Arial" w:cs="Times New Roman"/>
          <w:noProof/>
          <w:lang w:eastAsia="hr-HR"/>
        </w:rPr>
      </w:pPr>
      <w:hyperlink w:anchor="_Toc244201169" w:history="1">
        <w:r w:rsidRPr="009A6F39">
          <w:rPr>
            <w:rStyle w:val="Hiperveza"/>
            <w:rFonts w:ascii="Times New Roman" w:hAnsi="Times New Roman"/>
            <w:noProof/>
          </w:rPr>
          <w:t>6.</w:t>
        </w:r>
        <w:r w:rsidRPr="008C7E91">
          <w:rPr>
            <w:rFonts w:ascii="Arial" w:eastAsia="Times New Roman" w:hAnsi="Arial" w:cs="Times New Roman"/>
            <w:noProof/>
            <w:lang w:eastAsia="hr-HR"/>
          </w:rPr>
          <w:tab/>
        </w:r>
        <w:r w:rsidRPr="009A6F39">
          <w:rPr>
            <w:rStyle w:val="Hiperveza"/>
            <w:rFonts w:ascii="Times New Roman" w:hAnsi="Times New Roman"/>
            <w:noProof/>
          </w:rPr>
          <w:t>NOVI PRORAČUNSKI PROPISI</w:t>
        </w:r>
        <w:r>
          <w:rPr>
            <w:noProof/>
            <w:webHidden/>
          </w:rPr>
          <w:tab/>
        </w:r>
        <w:r>
          <w:rPr>
            <w:noProof/>
            <w:webHidden/>
          </w:rPr>
          <w:fldChar w:fldCharType="begin"/>
        </w:r>
        <w:r>
          <w:rPr>
            <w:noProof/>
            <w:webHidden/>
          </w:rPr>
          <w:instrText xml:space="preserve"> PAGEREF _Toc244201169 \h </w:instrText>
        </w:r>
        <w:r>
          <w:rPr>
            <w:noProof/>
            <w:webHidden/>
          </w:rPr>
        </w:r>
        <w:r>
          <w:rPr>
            <w:noProof/>
            <w:webHidden/>
          </w:rPr>
          <w:fldChar w:fldCharType="separate"/>
        </w:r>
        <w:r>
          <w:rPr>
            <w:noProof/>
            <w:webHidden/>
          </w:rPr>
          <w:t>10</w:t>
        </w:r>
        <w:r>
          <w:rPr>
            <w:noProof/>
            <w:webHidden/>
          </w:rPr>
          <w:fldChar w:fldCharType="end"/>
        </w:r>
      </w:hyperlink>
    </w:p>
    <w:p w14:paraId="02B24465" w14:textId="77777777" w:rsidR="00A0140C" w:rsidRPr="008C7E91" w:rsidRDefault="00A0140C">
      <w:pPr>
        <w:pStyle w:val="Sadraj1"/>
        <w:tabs>
          <w:tab w:val="right" w:leader="dot" w:pos="9062"/>
        </w:tabs>
        <w:rPr>
          <w:rFonts w:ascii="Arial" w:eastAsia="Times New Roman" w:hAnsi="Arial" w:cs="Times New Roman"/>
          <w:noProof/>
          <w:lang w:eastAsia="hr-HR"/>
        </w:rPr>
      </w:pPr>
      <w:hyperlink w:anchor="_Toc244201170" w:history="1">
        <w:r w:rsidRPr="009A6F39">
          <w:rPr>
            <w:rStyle w:val="Hiperveza"/>
            <w:rFonts w:ascii="Times New Roman" w:hAnsi="Times New Roman"/>
            <w:noProof/>
          </w:rPr>
          <w:t>7. DOSTAVA DOKUMENATA I UNOS PODATAKA</w:t>
        </w:r>
        <w:r>
          <w:rPr>
            <w:noProof/>
            <w:webHidden/>
          </w:rPr>
          <w:tab/>
        </w:r>
        <w:r>
          <w:rPr>
            <w:noProof/>
            <w:webHidden/>
          </w:rPr>
          <w:fldChar w:fldCharType="begin"/>
        </w:r>
        <w:r>
          <w:rPr>
            <w:noProof/>
            <w:webHidden/>
          </w:rPr>
          <w:instrText xml:space="preserve"> PAGEREF _Toc244201170 \h </w:instrText>
        </w:r>
        <w:r>
          <w:rPr>
            <w:noProof/>
            <w:webHidden/>
          </w:rPr>
        </w:r>
        <w:r>
          <w:rPr>
            <w:noProof/>
            <w:webHidden/>
          </w:rPr>
          <w:fldChar w:fldCharType="separate"/>
        </w:r>
        <w:r>
          <w:rPr>
            <w:noProof/>
            <w:webHidden/>
          </w:rPr>
          <w:t>11</w:t>
        </w:r>
        <w:r>
          <w:rPr>
            <w:noProof/>
            <w:webHidden/>
          </w:rPr>
          <w:fldChar w:fldCharType="end"/>
        </w:r>
      </w:hyperlink>
    </w:p>
    <w:p w14:paraId="0BF67A5C" w14:textId="77777777" w:rsidR="00A0140C" w:rsidRPr="008C7E91" w:rsidRDefault="00A0140C">
      <w:pPr>
        <w:pStyle w:val="Sadraj2"/>
        <w:rPr>
          <w:rFonts w:ascii="Arial" w:eastAsia="Times New Roman" w:hAnsi="Arial" w:cs="Times New Roman"/>
          <w:noProof/>
          <w:lang w:eastAsia="hr-HR"/>
        </w:rPr>
      </w:pPr>
      <w:hyperlink w:anchor="_Toc244201171" w:history="1">
        <w:r w:rsidRPr="009A6F39">
          <w:rPr>
            <w:rStyle w:val="Hiperveza"/>
            <w:rFonts w:ascii="Times New Roman" w:hAnsi="Times New Roman"/>
            <w:noProof/>
          </w:rPr>
          <w:t>7.1. Dostava proračunskih dokumenata Ministarstvu financija i Državnom uredu za reviziju</w:t>
        </w:r>
        <w:r>
          <w:rPr>
            <w:noProof/>
            <w:webHidden/>
          </w:rPr>
          <w:tab/>
        </w:r>
        <w:r>
          <w:rPr>
            <w:noProof/>
            <w:webHidden/>
          </w:rPr>
          <w:fldChar w:fldCharType="begin"/>
        </w:r>
        <w:r>
          <w:rPr>
            <w:noProof/>
            <w:webHidden/>
          </w:rPr>
          <w:instrText xml:space="preserve"> PAGEREF _Toc244201171 \h </w:instrText>
        </w:r>
        <w:r>
          <w:rPr>
            <w:noProof/>
            <w:webHidden/>
          </w:rPr>
        </w:r>
        <w:r>
          <w:rPr>
            <w:noProof/>
            <w:webHidden/>
          </w:rPr>
          <w:fldChar w:fldCharType="separate"/>
        </w:r>
        <w:r>
          <w:rPr>
            <w:noProof/>
            <w:webHidden/>
          </w:rPr>
          <w:t>11</w:t>
        </w:r>
        <w:r>
          <w:rPr>
            <w:noProof/>
            <w:webHidden/>
          </w:rPr>
          <w:fldChar w:fldCharType="end"/>
        </w:r>
      </w:hyperlink>
    </w:p>
    <w:p w14:paraId="09C0E096" w14:textId="77777777" w:rsidR="00A0140C" w:rsidRPr="008C7E91" w:rsidRDefault="00A0140C">
      <w:pPr>
        <w:pStyle w:val="Sadraj2"/>
        <w:rPr>
          <w:rFonts w:ascii="Arial" w:eastAsia="Times New Roman" w:hAnsi="Arial" w:cs="Times New Roman"/>
          <w:noProof/>
          <w:lang w:eastAsia="hr-HR"/>
        </w:rPr>
      </w:pPr>
      <w:hyperlink w:anchor="_Toc244201172" w:history="1">
        <w:r w:rsidRPr="009A6F39">
          <w:rPr>
            <w:rStyle w:val="Hiperveza"/>
            <w:rFonts w:ascii="Times New Roman" w:hAnsi="Times New Roman"/>
            <w:noProof/>
          </w:rPr>
          <w:t>8.</w:t>
        </w:r>
        <w:r w:rsidRPr="008C7E91">
          <w:rPr>
            <w:rFonts w:ascii="Arial" w:eastAsia="Times New Roman" w:hAnsi="Arial" w:cs="Times New Roman"/>
            <w:noProof/>
            <w:lang w:eastAsia="hr-HR"/>
          </w:rPr>
          <w:tab/>
        </w:r>
        <w:r w:rsidRPr="009A6F39">
          <w:rPr>
            <w:rStyle w:val="Hiperveza"/>
            <w:rFonts w:ascii="Times New Roman" w:hAnsi="Times New Roman"/>
            <w:noProof/>
          </w:rPr>
          <w:t>ZADUŽIVANJE JEDINICA LOKALNE I PODRUČNE (REGIONALNE) SAMOUPRAVE PREMA ZAKONU O PRORAČUNU</w:t>
        </w:r>
        <w:r>
          <w:rPr>
            <w:noProof/>
            <w:webHidden/>
          </w:rPr>
          <w:tab/>
        </w:r>
        <w:r>
          <w:rPr>
            <w:noProof/>
            <w:webHidden/>
          </w:rPr>
          <w:fldChar w:fldCharType="begin"/>
        </w:r>
        <w:r>
          <w:rPr>
            <w:noProof/>
            <w:webHidden/>
          </w:rPr>
          <w:instrText xml:space="preserve"> PAGEREF _Toc244201172 \h </w:instrText>
        </w:r>
        <w:r>
          <w:rPr>
            <w:noProof/>
            <w:webHidden/>
          </w:rPr>
        </w:r>
        <w:r>
          <w:rPr>
            <w:noProof/>
            <w:webHidden/>
          </w:rPr>
          <w:fldChar w:fldCharType="separate"/>
        </w:r>
        <w:r>
          <w:rPr>
            <w:noProof/>
            <w:webHidden/>
          </w:rPr>
          <w:t>11</w:t>
        </w:r>
        <w:r>
          <w:rPr>
            <w:noProof/>
            <w:webHidden/>
          </w:rPr>
          <w:fldChar w:fldCharType="end"/>
        </w:r>
      </w:hyperlink>
    </w:p>
    <w:p w14:paraId="477497B3" w14:textId="77777777" w:rsidR="000A3E83" w:rsidRPr="00875906" w:rsidRDefault="008C7E91">
      <w:pPr>
        <w:pStyle w:val="Sadraj2"/>
        <w:rPr>
          <w:rFonts w:ascii="Times New Roman" w:eastAsia="Times New Roman" w:hAnsi="Times New Roman" w:cs="Times New Roman"/>
          <w:kern w:val="2"/>
          <w:lang w:val="en-US" w:eastAsia="en-US"/>
        </w:rPr>
      </w:pPr>
      <w:r w:rsidRPr="00875906">
        <w:rPr>
          <w:rStyle w:val="IndexLink"/>
          <w:rFonts w:ascii="Times New Roman" w:hAnsi="Times New Roman" w:cs="Times New Roman"/>
          <w:lang w:val="en-US" w:eastAsia="en-US"/>
        </w:rPr>
        <w:fldChar w:fldCharType="end"/>
      </w:r>
    </w:p>
    <w:p w14:paraId="5EEC87F8" w14:textId="77777777" w:rsidR="000A3E83" w:rsidRPr="00875906" w:rsidRDefault="000A3E83">
      <w:pPr>
        <w:rPr>
          <w:rFonts w:ascii="Times New Roman" w:eastAsia="Times New Roman" w:hAnsi="Times New Roman" w:cs="Times New Roman"/>
          <w:b/>
          <w:bCs/>
          <w:kern w:val="2"/>
          <w:lang w:val="en-US" w:eastAsia="en-US"/>
        </w:rPr>
      </w:pPr>
    </w:p>
    <w:p w14:paraId="33291527" w14:textId="77777777" w:rsidR="000A3E83" w:rsidRPr="00875906" w:rsidRDefault="000A3E83">
      <w:pPr>
        <w:rPr>
          <w:rFonts w:ascii="Times New Roman" w:hAnsi="Times New Roman" w:cs="Times New Roman"/>
        </w:rPr>
      </w:pPr>
    </w:p>
    <w:p w14:paraId="4A1D4DC3" w14:textId="77777777" w:rsidR="000A3E83" w:rsidRPr="00875906" w:rsidRDefault="000A3E83">
      <w:pPr>
        <w:rPr>
          <w:rFonts w:ascii="Times New Roman" w:hAnsi="Times New Roman" w:cs="Times New Roman"/>
        </w:rPr>
      </w:pPr>
    </w:p>
    <w:p w14:paraId="613D0E73" w14:textId="77777777" w:rsidR="000A3E83" w:rsidRPr="00875906" w:rsidRDefault="000A3E83">
      <w:pPr>
        <w:rPr>
          <w:rFonts w:ascii="Times New Roman" w:hAnsi="Times New Roman" w:cs="Times New Roman"/>
        </w:rPr>
      </w:pPr>
    </w:p>
    <w:p w14:paraId="7E603F18" w14:textId="77777777" w:rsidR="000A3E83" w:rsidRPr="00875906" w:rsidRDefault="000A3E83">
      <w:pPr>
        <w:rPr>
          <w:rFonts w:ascii="Times New Roman" w:hAnsi="Times New Roman" w:cs="Times New Roman"/>
        </w:rPr>
      </w:pPr>
    </w:p>
    <w:p w14:paraId="4D617C72" w14:textId="77777777" w:rsidR="000A3E83" w:rsidRPr="00875906" w:rsidRDefault="000A3E83">
      <w:pPr>
        <w:rPr>
          <w:rFonts w:ascii="Times New Roman" w:hAnsi="Times New Roman" w:cs="Times New Roman"/>
        </w:rPr>
      </w:pPr>
    </w:p>
    <w:p w14:paraId="2FEFFDA7" w14:textId="77777777" w:rsidR="000A3E83" w:rsidRPr="00875906" w:rsidRDefault="000A3E83">
      <w:pPr>
        <w:rPr>
          <w:rFonts w:ascii="Times New Roman" w:hAnsi="Times New Roman" w:cs="Times New Roman"/>
        </w:rPr>
      </w:pPr>
    </w:p>
    <w:p w14:paraId="24E2BA26" w14:textId="77777777" w:rsidR="000A3E83" w:rsidRPr="00875906" w:rsidRDefault="000A3E83">
      <w:pPr>
        <w:rPr>
          <w:rFonts w:ascii="Times New Roman" w:hAnsi="Times New Roman" w:cs="Times New Roman"/>
        </w:rPr>
      </w:pPr>
    </w:p>
    <w:p w14:paraId="290C0C69" w14:textId="77777777" w:rsidR="000A3E83" w:rsidRPr="00875906" w:rsidRDefault="000A3E83">
      <w:pPr>
        <w:rPr>
          <w:rFonts w:ascii="Times New Roman" w:hAnsi="Times New Roman" w:cs="Times New Roman"/>
        </w:rPr>
      </w:pPr>
    </w:p>
    <w:p w14:paraId="4E44F25C" w14:textId="77777777" w:rsidR="000A3E83" w:rsidRPr="00875906" w:rsidRDefault="000A3E83">
      <w:pPr>
        <w:rPr>
          <w:rFonts w:ascii="Times New Roman" w:hAnsi="Times New Roman" w:cs="Times New Roman"/>
        </w:rPr>
      </w:pPr>
    </w:p>
    <w:p w14:paraId="46128192" w14:textId="77777777" w:rsidR="000A3E83" w:rsidRPr="00875906" w:rsidRDefault="000A3E83">
      <w:pPr>
        <w:rPr>
          <w:rFonts w:ascii="Times New Roman" w:hAnsi="Times New Roman" w:cs="Times New Roman"/>
        </w:rPr>
      </w:pPr>
    </w:p>
    <w:p w14:paraId="4F01A930" w14:textId="77777777" w:rsidR="000A3E83" w:rsidRPr="00875906" w:rsidRDefault="000A3E83">
      <w:pPr>
        <w:rPr>
          <w:rFonts w:ascii="Times New Roman" w:hAnsi="Times New Roman" w:cs="Times New Roman"/>
        </w:rPr>
      </w:pPr>
    </w:p>
    <w:p w14:paraId="0DC4668A" w14:textId="77777777" w:rsidR="000A3E83" w:rsidRPr="00875906" w:rsidRDefault="000A3E83">
      <w:pPr>
        <w:rPr>
          <w:rFonts w:ascii="Times New Roman" w:hAnsi="Times New Roman" w:cs="Times New Roman"/>
        </w:rPr>
      </w:pPr>
    </w:p>
    <w:p w14:paraId="429E7647" w14:textId="77777777" w:rsidR="000A3E83" w:rsidRPr="00875906" w:rsidRDefault="000A3E83">
      <w:pPr>
        <w:rPr>
          <w:rFonts w:ascii="Times New Roman" w:hAnsi="Times New Roman" w:cs="Times New Roman"/>
        </w:rPr>
      </w:pPr>
    </w:p>
    <w:p w14:paraId="542C59D5" w14:textId="77777777" w:rsidR="000A3E83" w:rsidRPr="00875906" w:rsidRDefault="000A3E83">
      <w:pPr>
        <w:rPr>
          <w:rFonts w:ascii="Times New Roman" w:hAnsi="Times New Roman" w:cs="Times New Roman"/>
        </w:rPr>
      </w:pPr>
    </w:p>
    <w:p w14:paraId="447F2AA1" w14:textId="77777777" w:rsidR="000A3E83" w:rsidRPr="00875906" w:rsidRDefault="000A3E83">
      <w:pPr>
        <w:rPr>
          <w:rFonts w:ascii="Times New Roman" w:hAnsi="Times New Roman" w:cs="Times New Roman"/>
        </w:rPr>
      </w:pPr>
    </w:p>
    <w:p w14:paraId="5D932BB1" w14:textId="77777777" w:rsidR="000A3E83" w:rsidRPr="00875906" w:rsidRDefault="000A3E83">
      <w:pPr>
        <w:rPr>
          <w:rFonts w:ascii="Times New Roman" w:hAnsi="Times New Roman" w:cs="Times New Roman"/>
        </w:rPr>
      </w:pPr>
    </w:p>
    <w:p w14:paraId="720010E5" w14:textId="77777777" w:rsidR="000A3E83" w:rsidRPr="00875906" w:rsidRDefault="000A3E83">
      <w:pPr>
        <w:rPr>
          <w:rFonts w:ascii="Times New Roman" w:hAnsi="Times New Roman" w:cs="Times New Roman"/>
        </w:rPr>
      </w:pPr>
    </w:p>
    <w:p w14:paraId="07951B1A" w14:textId="77777777" w:rsidR="000A3E83" w:rsidRPr="00875906" w:rsidRDefault="000A3E83">
      <w:pPr>
        <w:rPr>
          <w:rFonts w:ascii="Times New Roman" w:hAnsi="Times New Roman" w:cs="Times New Roman"/>
        </w:rPr>
      </w:pPr>
    </w:p>
    <w:p w14:paraId="7E3D7C4C" w14:textId="77777777" w:rsidR="000A3E83" w:rsidRPr="00875906" w:rsidRDefault="000A3E83">
      <w:pPr>
        <w:rPr>
          <w:rFonts w:ascii="Times New Roman" w:hAnsi="Times New Roman" w:cs="Times New Roman"/>
        </w:rPr>
      </w:pPr>
    </w:p>
    <w:p w14:paraId="17D6773B" w14:textId="77777777" w:rsidR="000A3E83" w:rsidRDefault="000A3E83">
      <w:pPr>
        <w:rPr>
          <w:rFonts w:ascii="Times New Roman" w:hAnsi="Times New Roman" w:cs="Times New Roman"/>
        </w:rPr>
      </w:pPr>
    </w:p>
    <w:p w14:paraId="19A8E395" w14:textId="77777777" w:rsidR="00875906" w:rsidRDefault="00875906">
      <w:pPr>
        <w:rPr>
          <w:rFonts w:ascii="Times New Roman" w:hAnsi="Times New Roman" w:cs="Times New Roman"/>
        </w:rPr>
      </w:pPr>
    </w:p>
    <w:p w14:paraId="7F2F9A1A" w14:textId="77777777" w:rsidR="00875906" w:rsidRDefault="00875906">
      <w:pPr>
        <w:rPr>
          <w:rFonts w:ascii="Times New Roman" w:hAnsi="Times New Roman" w:cs="Times New Roman"/>
        </w:rPr>
      </w:pPr>
    </w:p>
    <w:p w14:paraId="6037C284" w14:textId="77777777" w:rsidR="00875906" w:rsidRDefault="00875906">
      <w:pPr>
        <w:rPr>
          <w:rFonts w:ascii="Times New Roman" w:hAnsi="Times New Roman" w:cs="Times New Roman"/>
        </w:rPr>
      </w:pPr>
    </w:p>
    <w:p w14:paraId="562E3185" w14:textId="77777777" w:rsidR="00875906" w:rsidRDefault="00875906">
      <w:pPr>
        <w:rPr>
          <w:rFonts w:ascii="Times New Roman" w:hAnsi="Times New Roman" w:cs="Times New Roman"/>
        </w:rPr>
      </w:pPr>
    </w:p>
    <w:p w14:paraId="452EA6EA" w14:textId="77777777" w:rsidR="00875906" w:rsidRDefault="00875906">
      <w:pPr>
        <w:rPr>
          <w:rFonts w:ascii="Times New Roman" w:hAnsi="Times New Roman" w:cs="Times New Roman"/>
        </w:rPr>
      </w:pPr>
    </w:p>
    <w:p w14:paraId="29C6328E" w14:textId="77777777" w:rsidR="00875906" w:rsidRDefault="00875906">
      <w:pPr>
        <w:rPr>
          <w:rFonts w:ascii="Times New Roman" w:hAnsi="Times New Roman" w:cs="Times New Roman"/>
        </w:rPr>
      </w:pPr>
    </w:p>
    <w:p w14:paraId="338E395E" w14:textId="77777777" w:rsidR="00875906" w:rsidRPr="00875906" w:rsidRDefault="00875906">
      <w:pPr>
        <w:rPr>
          <w:rFonts w:ascii="Times New Roman" w:hAnsi="Times New Roman" w:cs="Times New Roman"/>
        </w:rPr>
      </w:pPr>
    </w:p>
    <w:p w14:paraId="723BA56F" w14:textId="77777777" w:rsidR="000A3E83" w:rsidRPr="00875906" w:rsidRDefault="008C7E91">
      <w:pPr>
        <w:pStyle w:val="Naslov1"/>
        <w:numPr>
          <w:ilvl w:val="0"/>
          <w:numId w:val="2"/>
        </w:numPr>
        <w:rPr>
          <w:rFonts w:ascii="Times New Roman" w:hAnsi="Times New Roman"/>
          <w:sz w:val="22"/>
          <w:szCs w:val="22"/>
        </w:rPr>
      </w:pPr>
      <w:bookmarkStart w:id="0" w:name="_Toc244201158"/>
      <w:r w:rsidRPr="00875906">
        <w:rPr>
          <w:rFonts w:ascii="Times New Roman" w:hAnsi="Times New Roman"/>
          <w:sz w:val="22"/>
          <w:szCs w:val="22"/>
        </w:rPr>
        <w:lastRenderedPageBreak/>
        <w:t>UVOD</w:t>
      </w:r>
      <w:bookmarkEnd w:id="0"/>
      <w:r w:rsidRPr="00875906">
        <w:rPr>
          <w:rFonts w:ascii="Times New Roman" w:hAnsi="Times New Roman"/>
          <w:sz w:val="22"/>
          <w:szCs w:val="22"/>
        </w:rPr>
        <w:t xml:space="preserve"> </w:t>
      </w:r>
    </w:p>
    <w:p w14:paraId="75468ECE" w14:textId="77777777" w:rsidR="000A3E83" w:rsidRPr="00875906" w:rsidRDefault="000A3E83">
      <w:pPr>
        <w:jc w:val="both"/>
        <w:rPr>
          <w:rFonts w:ascii="Times New Roman" w:hAnsi="Times New Roman" w:cs="Times New Roman"/>
        </w:rPr>
      </w:pPr>
    </w:p>
    <w:p w14:paraId="2EE15BD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Sukladno Zakonu o proračunu (Narodne novine, br. 144/21) i Uputama Ministarstva financija za izradu prijedloga proračuna jedinica lokalne i područne (regionalne) samouprave za razdoblje 2027. - 2029., Jedinstveni upravni odjel Općine Kamanje izrađuje ove Upute radi pripreme prijedloga Proračuna Općine Kamanje i prijedloga financijskog plana proračunskog korisnika za razdoblje 2027. - 2029.</w:t>
      </w:r>
    </w:p>
    <w:p w14:paraId="168DFDD6" w14:textId="77777777" w:rsidR="000A3E83" w:rsidRPr="00875906" w:rsidRDefault="000A3E83">
      <w:pPr>
        <w:jc w:val="both"/>
        <w:rPr>
          <w:rFonts w:ascii="Times New Roman" w:hAnsi="Times New Roman" w:cs="Times New Roman"/>
        </w:rPr>
      </w:pPr>
    </w:p>
    <w:p w14:paraId="604FB855"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Jedinstveni upravni odjel Općine Kamanje ovim Uputama, na temelju poznatih veličina, pokazatelja i metodologije izrade proračuna i financijskih planova, utvrđuje polazne veličine, limite i rokove za izradu prijedloga financijskog plana proračunskog korisnika te prijedloga Proračuna Općine Kamanje za 2027. godinu s projekcijama za 2028. i 2029. godinu.</w:t>
      </w:r>
    </w:p>
    <w:p w14:paraId="6D5F7A8E" w14:textId="77777777" w:rsidR="000A3E83" w:rsidRPr="00875906" w:rsidRDefault="000A3E83">
      <w:pPr>
        <w:jc w:val="both"/>
        <w:rPr>
          <w:rFonts w:ascii="Times New Roman" w:hAnsi="Times New Roman" w:cs="Times New Roman"/>
        </w:rPr>
      </w:pPr>
    </w:p>
    <w:p w14:paraId="02ED861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Rokovi i metodologija za izradu prijedloga proračuna utvrđeni su Zakonom o proračunu (Narodne novine, br. 144/21). Pri izradi prijedloga proračuna i financijskih planova primjenjuju se i Pravilnik o planiranju u sustavu proračuna (Narodne novine, br. 1/24), Pravilnik o proračunskim klasifikacijama (Narodne novine, br. 4/24 i 122/25), Pravilnik o proračunskom računovodstvu i Računskom planu (Narodne novine, br. 158/23 i 154/24), Pravilnik o korištenju sredstava Europske unije (Narodne novine, br. 44/24) te Zakon o fiskalnoj odgovornosti.</w:t>
      </w:r>
    </w:p>
    <w:p w14:paraId="6D3DAE11" w14:textId="77777777" w:rsidR="000A3E83" w:rsidRPr="00875906" w:rsidRDefault="000A3E83">
      <w:pPr>
        <w:jc w:val="both"/>
        <w:rPr>
          <w:rFonts w:ascii="Times New Roman" w:hAnsi="Times New Roman" w:cs="Times New Roman"/>
        </w:rPr>
      </w:pPr>
    </w:p>
    <w:p w14:paraId="724BA53B"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 xml:space="preserve">Odredbe ovih propisa odnose se na proračunske korisnike. Čelnik jedinice lokalne i područne (regionalne) samouprave odnosno proračunskog korisnika odgovoran je za zakonito i pravilno planiranje i izvršavanje proračuna, odnosno financijskog plana. </w:t>
      </w:r>
    </w:p>
    <w:p w14:paraId="5B0EBE4B" w14:textId="77777777" w:rsidR="000A3E83" w:rsidRPr="00875906" w:rsidRDefault="000A3E83">
      <w:pPr>
        <w:jc w:val="both"/>
        <w:rPr>
          <w:rFonts w:ascii="Times New Roman" w:hAnsi="Times New Roman" w:cs="Times New Roman"/>
        </w:rPr>
      </w:pPr>
    </w:p>
    <w:p w14:paraId="5FA738C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Ove Upute s obrascima potrebnim za izradu proračuna i financijskog plana proračunskog korisnika objavit će se na mrežnim stranicama Općine Kamanje.</w:t>
      </w:r>
    </w:p>
    <w:p w14:paraId="2D3B36D1" w14:textId="77777777" w:rsidR="000A3E83" w:rsidRPr="00875906" w:rsidRDefault="000A3E83">
      <w:pPr>
        <w:jc w:val="both"/>
        <w:rPr>
          <w:rFonts w:ascii="Times New Roman" w:hAnsi="Times New Roman" w:cs="Times New Roman"/>
        </w:rPr>
      </w:pPr>
    </w:p>
    <w:p w14:paraId="53B2ACB1"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Upute Ministarstva financija za izradu prijedloga proračuna jedinica lokalne i područne (regionalne) samouprave za razdoblje 2027. - 2029. objavljene su u listopadu 2026. godine. Pri izradi proračuna i financijskog plana primjenjuju se i upute Ministarstva financija iz prethodnih proračunskih razdoblja za sadržaje koji su u njima detaljno obrazloženi, u dijelu u kojem su i dalje primjenjive.</w:t>
      </w:r>
    </w:p>
    <w:p w14:paraId="0897E80F" w14:textId="77777777" w:rsidR="000A3E83" w:rsidRPr="00875906" w:rsidRDefault="000A3E83">
      <w:pPr>
        <w:jc w:val="both"/>
        <w:rPr>
          <w:rFonts w:ascii="Times New Roman" w:hAnsi="Times New Roman" w:cs="Times New Roman"/>
        </w:rPr>
      </w:pPr>
    </w:p>
    <w:p w14:paraId="46AE2E30"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Proračunski korisnik Općine Kamanje je Dječji vrtić Kamanje.</w:t>
      </w:r>
    </w:p>
    <w:p w14:paraId="232EBDC2" w14:textId="77777777" w:rsidR="000A3E83" w:rsidRPr="00875906" w:rsidRDefault="000A3E83">
      <w:pPr>
        <w:jc w:val="both"/>
        <w:rPr>
          <w:rFonts w:ascii="Times New Roman" w:hAnsi="Times New Roman" w:cs="Times New Roman"/>
        </w:rPr>
      </w:pPr>
    </w:p>
    <w:p w14:paraId="5332788B"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Jedinstveni upravni odjel i proračunski korisnik iz nadležnosti Općine Kamanje obvezni su pridržavati se ovih Uputa, propisane metodologije i utvrđenih limita u postupku izrade prijedloga financijskog plana za razdoblje 2027.-2029. godine.</w:t>
      </w:r>
    </w:p>
    <w:p w14:paraId="524747C2" w14:textId="77777777" w:rsidR="000A3E83" w:rsidRPr="00875906" w:rsidRDefault="000A3E83">
      <w:pPr>
        <w:jc w:val="both"/>
        <w:rPr>
          <w:rFonts w:ascii="Times New Roman" w:hAnsi="Times New Roman" w:cs="Times New Roman"/>
        </w:rPr>
      </w:pPr>
    </w:p>
    <w:p w14:paraId="1398C07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Čelnik jedinice lokalne samouprave – općinski načelnik, odnosno proračunskog korisnika- ravnatelj odgovoran je za zakonito i pravilno planiranje i izvršavanje proračuna odnosno financijskog plana.</w:t>
      </w:r>
    </w:p>
    <w:p w14:paraId="661C2051" w14:textId="77777777" w:rsidR="000A3E83" w:rsidRPr="00875906" w:rsidRDefault="000A3E83">
      <w:pPr>
        <w:jc w:val="both"/>
        <w:rPr>
          <w:rFonts w:ascii="Times New Roman" w:hAnsi="Times New Roman" w:cs="Times New Roman"/>
        </w:rPr>
      </w:pPr>
    </w:p>
    <w:p w14:paraId="6010BF21" w14:textId="77777777" w:rsidR="000A3E83" w:rsidRPr="00875906" w:rsidRDefault="008C7E91">
      <w:pPr>
        <w:jc w:val="both"/>
        <w:rPr>
          <w:rFonts w:ascii="Times New Roman" w:hAnsi="Times New Roman" w:cs="Times New Roman"/>
        </w:rPr>
      </w:pPr>
      <w:r w:rsidRPr="00875906">
        <w:rPr>
          <w:rFonts w:ascii="Times New Roman" w:hAnsi="Times New Roman" w:cs="Times New Roman"/>
          <w:b/>
          <w:bCs/>
        </w:rPr>
        <w:t>B. SADRŽAJ UPUTA ZA IZRADU PRIJEDLOGA PRORAČUNA OPĆINE KAMANJE I PRIJEDLOGA FINANCIJSKIH PLANOVA PRORAČUNSKOG KORISNIKA OPĆINE KAMANJE ZA RAZDOBLJE 2027.-2029.</w:t>
      </w:r>
    </w:p>
    <w:p w14:paraId="7D8150EB" w14:textId="77777777" w:rsidR="000A3E83" w:rsidRPr="00875906" w:rsidRDefault="000A3E83">
      <w:pPr>
        <w:jc w:val="both"/>
        <w:rPr>
          <w:rFonts w:ascii="Times New Roman" w:hAnsi="Times New Roman" w:cs="Times New Roman"/>
          <w:b/>
          <w:bCs/>
        </w:rPr>
      </w:pPr>
    </w:p>
    <w:p w14:paraId="650A31D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Uputa za izradu prijedloga proračuna i prijedloga financijskih planova proračunskih korisnika sadrži:</w:t>
      </w:r>
    </w:p>
    <w:p w14:paraId="532709A7" w14:textId="77777777" w:rsidR="000A3E83" w:rsidRPr="00875906" w:rsidRDefault="000A3E83">
      <w:pPr>
        <w:ind w:firstLine="708"/>
        <w:jc w:val="both"/>
        <w:rPr>
          <w:rFonts w:ascii="Times New Roman" w:hAnsi="Times New Roman" w:cs="Times New Roman"/>
        </w:rPr>
      </w:pPr>
    </w:p>
    <w:p w14:paraId="1BAA31DF" w14:textId="77777777" w:rsidR="000A3E83" w:rsidRPr="00875906" w:rsidRDefault="008C7E91">
      <w:pPr>
        <w:numPr>
          <w:ilvl w:val="0"/>
          <w:numId w:val="12"/>
        </w:numPr>
        <w:jc w:val="both"/>
        <w:rPr>
          <w:rFonts w:ascii="Times New Roman" w:hAnsi="Times New Roman" w:cs="Times New Roman"/>
        </w:rPr>
      </w:pPr>
      <w:r w:rsidRPr="00875906">
        <w:rPr>
          <w:rFonts w:ascii="Times New Roman" w:hAnsi="Times New Roman" w:cs="Times New Roman"/>
        </w:rPr>
        <w:t>temeljne makroekonomske pretpostavke</w:t>
      </w:r>
    </w:p>
    <w:p w14:paraId="6B48088F" w14:textId="77777777" w:rsidR="000A3E83" w:rsidRPr="00875906" w:rsidRDefault="008C7E91">
      <w:pPr>
        <w:numPr>
          <w:ilvl w:val="0"/>
          <w:numId w:val="12"/>
        </w:numPr>
        <w:jc w:val="both"/>
        <w:rPr>
          <w:rFonts w:ascii="Times New Roman" w:hAnsi="Times New Roman" w:cs="Times New Roman"/>
        </w:rPr>
      </w:pPr>
      <w:r w:rsidRPr="00875906">
        <w:rPr>
          <w:rFonts w:ascii="Times New Roman" w:hAnsi="Times New Roman" w:cs="Times New Roman"/>
        </w:rPr>
        <w:t>opis planiranih politika Općine Kamanje</w:t>
      </w:r>
    </w:p>
    <w:p w14:paraId="457D39E7" w14:textId="77777777" w:rsidR="000A3E83" w:rsidRPr="00875906" w:rsidRDefault="008C7E91">
      <w:pPr>
        <w:numPr>
          <w:ilvl w:val="0"/>
          <w:numId w:val="12"/>
        </w:numPr>
        <w:jc w:val="both"/>
        <w:rPr>
          <w:rFonts w:ascii="Times New Roman" w:hAnsi="Times New Roman" w:cs="Times New Roman"/>
        </w:rPr>
      </w:pPr>
      <w:r w:rsidRPr="00875906">
        <w:rPr>
          <w:rFonts w:ascii="Times New Roman" w:hAnsi="Times New Roman" w:cs="Times New Roman"/>
        </w:rPr>
        <w:t>procjenu prihoda i rashoda te primitaka i izdataka proračuna Općine Kamanje za razdoblje 2027.-2029.</w:t>
      </w:r>
    </w:p>
    <w:p w14:paraId="702338BE" w14:textId="77777777" w:rsidR="000A3E83" w:rsidRPr="00875906" w:rsidRDefault="008C7E91">
      <w:pPr>
        <w:numPr>
          <w:ilvl w:val="0"/>
          <w:numId w:val="12"/>
        </w:numPr>
        <w:jc w:val="both"/>
        <w:rPr>
          <w:rFonts w:ascii="Times New Roman" w:hAnsi="Times New Roman" w:cs="Times New Roman"/>
        </w:rPr>
      </w:pPr>
      <w:r w:rsidRPr="00875906">
        <w:rPr>
          <w:rFonts w:ascii="Times New Roman" w:hAnsi="Times New Roman" w:cs="Times New Roman"/>
        </w:rPr>
        <w:t>visinu rashoda koji se financiraju iz općih prihoda i primitaka te namjenskih primitaka po razdjelima organizacijske klasifikacije, 2027.-2029.raspoređenu na:</w:t>
      </w:r>
    </w:p>
    <w:p w14:paraId="1244CB76" w14:textId="77777777" w:rsidR="000A3E83" w:rsidRPr="00875906" w:rsidRDefault="008C7E91">
      <w:pPr>
        <w:numPr>
          <w:ilvl w:val="0"/>
          <w:numId w:val="3"/>
        </w:numPr>
        <w:jc w:val="both"/>
        <w:rPr>
          <w:rFonts w:ascii="Times New Roman" w:hAnsi="Times New Roman" w:cs="Times New Roman"/>
        </w:rPr>
      </w:pPr>
      <w:r w:rsidRPr="00875906">
        <w:rPr>
          <w:rFonts w:ascii="Times New Roman" w:hAnsi="Times New Roman" w:cs="Times New Roman"/>
        </w:rPr>
        <w:lastRenderedPageBreak/>
        <w:t>visinu rashoda potrebnih za provedbu postojećih programa odnosno aktivnosti, koje proizlaze iz važećih propisa (limit 1),</w:t>
      </w:r>
    </w:p>
    <w:p w14:paraId="743E19D9" w14:textId="77777777" w:rsidR="000A3E83" w:rsidRPr="00875906" w:rsidRDefault="008C7E91">
      <w:pPr>
        <w:numPr>
          <w:ilvl w:val="0"/>
          <w:numId w:val="3"/>
        </w:numPr>
        <w:jc w:val="both"/>
        <w:rPr>
          <w:rFonts w:ascii="Times New Roman" w:hAnsi="Times New Roman" w:cs="Times New Roman"/>
        </w:rPr>
      </w:pPr>
      <w:r w:rsidRPr="00875906">
        <w:rPr>
          <w:rFonts w:ascii="Times New Roman" w:hAnsi="Times New Roman" w:cs="Times New Roman"/>
        </w:rPr>
        <w:t>visinu rashoda potrebnih za uvođenje i provedbu novih ili promjenu postojećih programa odnosno aktivnosti (limit 2).</w:t>
      </w:r>
    </w:p>
    <w:p w14:paraId="0D728B94" w14:textId="77777777" w:rsidR="000A3E83" w:rsidRPr="00875906" w:rsidRDefault="000A3E83">
      <w:pPr>
        <w:jc w:val="both"/>
        <w:rPr>
          <w:rFonts w:ascii="Times New Roman" w:hAnsi="Times New Roman" w:cs="Times New Roman"/>
        </w:rPr>
      </w:pPr>
    </w:p>
    <w:p w14:paraId="7E61560C" w14:textId="77777777" w:rsidR="000A3E83" w:rsidRPr="00875906" w:rsidRDefault="008C7E91">
      <w:pPr>
        <w:numPr>
          <w:ilvl w:val="0"/>
          <w:numId w:val="10"/>
        </w:numPr>
        <w:jc w:val="both"/>
        <w:rPr>
          <w:rFonts w:ascii="Times New Roman" w:hAnsi="Times New Roman" w:cs="Times New Roman"/>
        </w:rPr>
      </w:pPr>
      <w:r w:rsidRPr="00875906">
        <w:rPr>
          <w:rFonts w:ascii="Times New Roman" w:hAnsi="Times New Roman" w:cs="Times New Roman"/>
        </w:rPr>
        <w:t>način izrade i rok za dostavu prijedloga financijskih planova proračunskih korisnika Općine Kamanje</w:t>
      </w:r>
    </w:p>
    <w:p w14:paraId="772F0DC8" w14:textId="77777777" w:rsidR="000A3E83" w:rsidRPr="00875906" w:rsidRDefault="008C7E91">
      <w:pPr>
        <w:numPr>
          <w:ilvl w:val="0"/>
          <w:numId w:val="10"/>
        </w:numPr>
        <w:jc w:val="both"/>
        <w:rPr>
          <w:rFonts w:ascii="Times New Roman" w:hAnsi="Times New Roman" w:cs="Times New Roman"/>
        </w:rPr>
      </w:pPr>
      <w:r w:rsidRPr="00875906">
        <w:rPr>
          <w:rFonts w:ascii="Times New Roman" w:hAnsi="Times New Roman" w:cs="Times New Roman"/>
        </w:rPr>
        <w:t>rok za dostavu prijedloga financijskih planova proračunskih korisnika Općine Kamanje – terminski plan</w:t>
      </w:r>
    </w:p>
    <w:p w14:paraId="6330A292" w14:textId="77777777" w:rsidR="000A3E83" w:rsidRPr="00875906" w:rsidRDefault="008C7E91">
      <w:pPr>
        <w:pStyle w:val="Naslov1"/>
        <w:numPr>
          <w:ilvl w:val="0"/>
          <w:numId w:val="13"/>
        </w:numPr>
        <w:rPr>
          <w:rFonts w:ascii="Times New Roman" w:hAnsi="Times New Roman"/>
          <w:sz w:val="22"/>
          <w:szCs w:val="22"/>
        </w:rPr>
      </w:pPr>
      <w:bookmarkStart w:id="1" w:name="_Toc244201159"/>
      <w:r w:rsidRPr="00875906">
        <w:rPr>
          <w:rFonts w:ascii="Times New Roman" w:hAnsi="Times New Roman"/>
          <w:sz w:val="22"/>
          <w:szCs w:val="22"/>
        </w:rPr>
        <w:t>TEMELJNE MAKROEKONOMSKE PRETPOSTAVKE ZA IZRADU PRIJEDLOGA PRORAČUNA</w:t>
      </w:r>
      <w:bookmarkEnd w:id="1"/>
      <w:r w:rsidRPr="00875906">
        <w:rPr>
          <w:rFonts w:ascii="Times New Roman" w:hAnsi="Times New Roman"/>
          <w:sz w:val="22"/>
          <w:szCs w:val="22"/>
        </w:rPr>
        <w:t xml:space="preserve"> </w:t>
      </w:r>
    </w:p>
    <w:p w14:paraId="5BD9B10D" w14:textId="77777777" w:rsidR="000A3E83" w:rsidRPr="00875906" w:rsidRDefault="000A3E83">
      <w:pPr>
        <w:rPr>
          <w:rFonts w:ascii="Times New Roman" w:hAnsi="Times New Roman" w:cs="Times New Roman"/>
        </w:rPr>
      </w:pPr>
    </w:p>
    <w:p w14:paraId="496A1CC9" w14:textId="77777777" w:rsidR="002D5D9E" w:rsidRPr="002D5D9E" w:rsidRDefault="002D5D9E" w:rsidP="002D5D9E">
      <w:pPr>
        <w:pStyle w:val="Bezproreda1"/>
        <w:jc w:val="both"/>
        <w:rPr>
          <w:rFonts w:eastAsia="Calibri"/>
          <w:sz w:val="22"/>
        </w:rPr>
      </w:pPr>
      <w:r w:rsidRPr="002D5D9E">
        <w:rPr>
          <w:rFonts w:eastAsia="Calibri"/>
          <w:sz w:val="22"/>
        </w:rPr>
        <w:t>U skladu s člankom 26. Zakona o proračunu („Narodne novine“, br. 144/21), upute za izradu i dostavu prijedloga financijskih planova proračunskih korisnika obvezno sadrže temeljne makroekonomske pretpostavke za izradu prijedloga proračuna.</w:t>
      </w:r>
    </w:p>
    <w:p w14:paraId="06DF156D" w14:textId="77777777" w:rsidR="002D5D9E" w:rsidRPr="002D5D9E" w:rsidRDefault="002D5D9E" w:rsidP="002D5D9E">
      <w:pPr>
        <w:pStyle w:val="Bezproreda1"/>
        <w:jc w:val="both"/>
        <w:rPr>
          <w:rFonts w:eastAsia="Calibri"/>
          <w:sz w:val="22"/>
        </w:rPr>
      </w:pPr>
    </w:p>
    <w:p w14:paraId="3745B83C" w14:textId="77777777" w:rsidR="002D5D9E" w:rsidRPr="002D5D9E" w:rsidRDefault="002D5D9E" w:rsidP="002D5D9E">
      <w:pPr>
        <w:pStyle w:val="Bezproreda1"/>
        <w:jc w:val="both"/>
        <w:rPr>
          <w:rFonts w:eastAsia="Calibri"/>
          <w:sz w:val="22"/>
        </w:rPr>
      </w:pPr>
      <w:r w:rsidRPr="002D5D9E">
        <w:rPr>
          <w:rFonts w:eastAsia="Calibri"/>
          <w:sz w:val="22"/>
        </w:rPr>
        <w:t>Makroekonomski i fiskalni okvir za izradu Proračuna Općine Kamanje za 2027. godinu i projekcija za 2028. i 2029. godinu temelji se na Uputama Ministarstva financija za izradu prijedloga proračuna jedinica lokalne i područne (regionalne) samouprave za razdoblje 2027.–2029. te Nacionalnom srednjoročnom fiskalno-strukturnom planu Republike Hrvatske.</w:t>
      </w:r>
    </w:p>
    <w:p w14:paraId="08B9B423" w14:textId="77777777" w:rsidR="002D5D9E" w:rsidRPr="002D5D9E" w:rsidRDefault="002D5D9E" w:rsidP="002D5D9E">
      <w:pPr>
        <w:pStyle w:val="Bezproreda1"/>
        <w:jc w:val="both"/>
        <w:rPr>
          <w:rFonts w:eastAsia="Calibri"/>
          <w:sz w:val="22"/>
        </w:rPr>
      </w:pPr>
    </w:p>
    <w:p w14:paraId="57404A20" w14:textId="77777777" w:rsidR="002D5D9E" w:rsidRPr="002D5D9E" w:rsidRDefault="002D5D9E" w:rsidP="002D5D9E">
      <w:pPr>
        <w:pStyle w:val="Bezproreda1"/>
        <w:jc w:val="both"/>
        <w:rPr>
          <w:rFonts w:eastAsia="Calibri"/>
          <w:sz w:val="22"/>
        </w:rPr>
      </w:pPr>
      <w:r w:rsidRPr="002D5D9E">
        <w:rPr>
          <w:rFonts w:eastAsia="Calibri"/>
          <w:sz w:val="22"/>
        </w:rPr>
        <w:t>Proračunsko planiranje potrebno je uskladiti s Nacionalnim srednjoročnim fiskalno-strukturnim planom Republike Hrvatske kojim se utvrđuje smjer fiskalnih kretanja Republike Hrvatske te prioritetne reforme i ulaganja. U srednjoročnom razdoblju poseban naglasak stavlja se na očuvanje fiskalne održivosti, uz uvažavanje potrebe povećanih izdvajanja za obranu.</w:t>
      </w:r>
    </w:p>
    <w:p w14:paraId="58689C4B" w14:textId="77777777" w:rsidR="002D5D9E" w:rsidRPr="002D5D9E" w:rsidRDefault="002D5D9E" w:rsidP="002D5D9E">
      <w:pPr>
        <w:pStyle w:val="Bezproreda1"/>
        <w:jc w:val="both"/>
        <w:rPr>
          <w:rFonts w:eastAsia="Calibri"/>
          <w:sz w:val="22"/>
        </w:rPr>
      </w:pPr>
    </w:p>
    <w:p w14:paraId="4040CDF3" w14:textId="77777777" w:rsidR="002D5D9E" w:rsidRPr="002D5D9E" w:rsidRDefault="002D5D9E" w:rsidP="002D5D9E">
      <w:pPr>
        <w:pStyle w:val="Bezproreda1"/>
        <w:jc w:val="both"/>
        <w:rPr>
          <w:rFonts w:eastAsia="Calibri"/>
          <w:sz w:val="22"/>
        </w:rPr>
      </w:pPr>
      <w:r w:rsidRPr="002D5D9E">
        <w:rPr>
          <w:rFonts w:eastAsia="Calibri"/>
          <w:sz w:val="22"/>
        </w:rPr>
        <w:t>U planiranom razdoblju naglašava se važnost kontinuiteta reformi i investicija u okviru Plana za oporavak i otpornost te kohezijskih fondova Europske unije, energetske tranzicije, snaženja tržišta kapitala te konsolidacije i povećanja učinkovitosti politika istraživanja, inovacija i obrazovanja. Ističe se i potreba jačanja politika tržišta rada te unapređenja adekvatnosti socijalne i zdravstvene skrbi i priuštivog stanovanja, uz istodobno vođenje računa o fiskalnoj održivosti.</w:t>
      </w:r>
    </w:p>
    <w:p w14:paraId="1129C1EA" w14:textId="77777777" w:rsidR="002D5D9E" w:rsidRPr="002D5D9E" w:rsidRDefault="002D5D9E" w:rsidP="002D5D9E">
      <w:pPr>
        <w:pStyle w:val="Bezproreda1"/>
        <w:jc w:val="both"/>
        <w:rPr>
          <w:rFonts w:eastAsia="Calibri"/>
          <w:sz w:val="22"/>
        </w:rPr>
      </w:pPr>
    </w:p>
    <w:p w14:paraId="0A00F14C" w14:textId="77777777" w:rsidR="000A3E83" w:rsidRPr="00875906" w:rsidRDefault="002D5D9E" w:rsidP="002D5D9E">
      <w:pPr>
        <w:pStyle w:val="Bezproreda1"/>
        <w:jc w:val="both"/>
        <w:rPr>
          <w:b/>
          <w:sz w:val="22"/>
        </w:rPr>
      </w:pPr>
      <w:r w:rsidRPr="002D5D9E">
        <w:rPr>
          <w:rFonts w:eastAsia="Calibri"/>
          <w:sz w:val="22"/>
        </w:rPr>
        <w:t>Prilikom izrade prijedloga financijskih planova za razdoblje 2027.–2029. potrebno je realno procijeniti prihode i primitke te rashode i izdatke, uzimajući u obzir lokalne okolnosti, raspoložive izvore financiranja, ugovorene i preuzete obveze, očekivanu dinamiku provedbe projekata te dugoročnu održivost proračuna. Planiranje rashoda mora biti usklađeno s realno očekivanim prihodima i prioritetima Općine Kamanje.</w:t>
      </w:r>
    </w:p>
    <w:p w14:paraId="6135A86E" w14:textId="77777777" w:rsidR="000A3E83" w:rsidRPr="00875906" w:rsidRDefault="008C7E91">
      <w:pPr>
        <w:pStyle w:val="Naslov1"/>
        <w:numPr>
          <w:ilvl w:val="0"/>
          <w:numId w:val="13"/>
        </w:numPr>
        <w:rPr>
          <w:rFonts w:ascii="Times New Roman" w:hAnsi="Times New Roman"/>
          <w:sz w:val="22"/>
          <w:szCs w:val="22"/>
          <w:lang w:eastAsia="en-US"/>
        </w:rPr>
      </w:pPr>
      <w:bookmarkStart w:id="2" w:name="_Toc244201160"/>
      <w:r w:rsidRPr="00875906">
        <w:rPr>
          <w:rFonts w:ascii="Times New Roman" w:hAnsi="Times New Roman"/>
          <w:sz w:val="22"/>
          <w:szCs w:val="22"/>
          <w:lang w:eastAsia="en-US"/>
        </w:rPr>
        <w:t>OPIS PLANIRANIH POLITIKA OPĆINE KAMANJE</w:t>
      </w:r>
      <w:bookmarkEnd w:id="2"/>
    </w:p>
    <w:p w14:paraId="628B6A29" w14:textId="77777777" w:rsidR="000A3E83" w:rsidRPr="00875906" w:rsidRDefault="000A3E83">
      <w:pPr>
        <w:pStyle w:val="Bezproreda1"/>
        <w:rPr>
          <w:sz w:val="22"/>
          <w:lang w:eastAsia="en-US"/>
        </w:rPr>
      </w:pPr>
    </w:p>
    <w:p w14:paraId="19749DCF" w14:textId="77777777" w:rsidR="000A3E83" w:rsidRPr="00875906" w:rsidRDefault="008C7E91">
      <w:pPr>
        <w:pStyle w:val="Bezproreda1"/>
        <w:rPr>
          <w:sz w:val="22"/>
        </w:rPr>
      </w:pPr>
      <w:r w:rsidRPr="00875906">
        <w:rPr>
          <w:sz w:val="22"/>
        </w:rPr>
        <w:t>Osnovni ciljevi u provođenju politike Općine Kamanju u predstojećem razdoblju bit će:</w:t>
      </w:r>
    </w:p>
    <w:p w14:paraId="29D6CBCB" w14:textId="77777777" w:rsidR="000A3E83" w:rsidRPr="00875906" w:rsidRDefault="000A3E83">
      <w:pPr>
        <w:pStyle w:val="Bezproreda1"/>
        <w:rPr>
          <w:sz w:val="22"/>
        </w:rPr>
      </w:pPr>
    </w:p>
    <w:p w14:paraId="3054EA10" w14:textId="77777777" w:rsidR="000A3E83" w:rsidRPr="00875906" w:rsidRDefault="008C7E91">
      <w:pPr>
        <w:pStyle w:val="Bezproreda1"/>
        <w:numPr>
          <w:ilvl w:val="0"/>
          <w:numId w:val="8"/>
        </w:numPr>
        <w:rPr>
          <w:sz w:val="22"/>
        </w:rPr>
      </w:pPr>
      <w:r w:rsidRPr="00875906">
        <w:rPr>
          <w:sz w:val="22"/>
        </w:rPr>
        <w:t>Razvoj i izgradnja novih objekata komunalne infrastrukture (cesta, javne rasvjete, javnih površina) i objekata predškolskog odgoja</w:t>
      </w:r>
    </w:p>
    <w:p w14:paraId="44A42DF2" w14:textId="77777777" w:rsidR="000A3E83" w:rsidRPr="00875906" w:rsidRDefault="008C7E91">
      <w:pPr>
        <w:pStyle w:val="Bezproreda1"/>
        <w:numPr>
          <w:ilvl w:val="0"/>
          <w:numId w:val="8"/>
        </w:numPr>
        <w:rPr>
          <w:sz w:val="22"/>
        </w:rPr>
      </w:pPr>
      <w:r w:rsidRPr="00875906">
        <w:rPr>
          <w:sz w:val="22"/>
        </w:rPr>
        <w:t>Održavanje komunalne infrastrukture</w:t>
      </w:r>
    </w:p>
    <w:p w14:paraId="6983775A" w14:textId="77777777" w:rsidR="000A3E83" w:rsidRPr="00875906" w:rsidRDefault="008C7E91">
      <w:pPr>
        <w:pStyle w:val="Bezproreda1"/>
        <w:numPr>
          <w:ilvl w:val="0"/>
          <w:numId w:val="8"/>
        </w:numPr>
        <w:rPr>
          <w:sz w:val="22"/>
        </w:rPr>
      </w:pPr>
      <w:r w:rsidRPr="00875906">
        <w:rPr>
          <w:sz w:val="22"/>
        </w:rPr>
        <w:t>Razvoj turizma i djelatnosti s tim u vezi</w:t>
      </w:r>
    </w:p>
    <w:p w14:paraId="73869ABF" w14:textId="77777777" w:rsidR="000A3E83" w:rsidRPr="00875906" w:rsidRDefault="008C7E91">
      <w:pPr>
        <w:pStyle w:val="Bezproreda1"/>
        <w:numPr>
          <w:ilvl w:val="0"/>
          <w:numId w:val="8"/>
        </w:numPr>
        <w:rPr>
          <w:sz w:val="22"/>
        </w:rPr>
      </w:pPr>
      <w:r w:rsidRPr="00875906">
        <w:rPr>
          <w:sz w:val="22"/>
        </w:rPr>
        <w:t>Promoviranje i poticanje kulturnih događaja</w:t>
      </w:r>
    </w:p>
    <w:p w14:paraId="0DEB968A" w14:textId="77777777" w:rsidR="000A3E83" w:rsidRPr="00875906" w:rsidRDefault="008C7E91">
      <w:pPr>
        <w:pStyle w:val="Bezproreda1"/>
        <w:numPr>
          <w:ilvl w:val="0"/>
          <w:numId w:val="8"/>
        </w:numPr>
        <w:rPr>
          <w:sz w:val="22"/>
        </w:rPr>
      </w:pPr>
      <w:r w:rsidRPr="00875906">
        <w:rPr>
          <w:sz w:val="22"/>
        </w:rPr>
        <w:t>Potpora kulturnim i sportskim udrugama,</w:t>
      </w:r>
    </w:p>
    <w:p w14:paraId="21FAD712" w14:textId="77777777" w:rsidR="000A3E83" w:rsidRPr="00875906" w:rsidRDefault="008C7E91">
      <w:pPr>
        <w:pStyle w:val="Bezproreda1"/>
        <w:numPr>
          <w:ilvl w:val="0"/>
          <w:numId w:val="8"/>
        </w:numPr>
        <w:rPr>
          <w:sz w:val="22"/>
        </w:rPr>
      </w:pPr>
      <w:r w:rsidRPr="00875906">
        <w:rPr>
          <w:sz w:val="22"/>
        </w:rPr>
        <w:t>Predškolski odgoj</w:t>
      </w:r>
    </w:p>
    <w:p w14:paraId="2F198417" w14:textId="77777777" w:rsidR="000A3E83" w:rsidRPr="00875906" w:rsidRDefault="008C7E91">
      <w:pPr>
        <w:pStyle w:val="Bezproreda1"/>
        <w:numPr>
          <w:ilvl w:val="0"/>
          <w:numId w:val="8"/>
        </w:numPr>
        <w:rPr>
          <w:sz w:val="22"/>
        </w:rPr>
      </w:pPr>
      <w:r w:rsidRPr="00875906">
        <w:rPr>
          <w:sz w:val="22"/>
        </w:rPr>
        <w:t>Unapređenje protupožarne zaštite</w:t>
      </w:r>
    </w:p>
    <w:p w14:paraId="00ED22D4" w14:textId="77777777" w:rsidR="000A3E83" w:rsidRPr="00875906" w:rsidRDefault="008C7E91">
      <w:pPr>
        <w:pStyle w:val="Bezproreda1"/>
        <w:numPr>
          <w:ilvl w:val="0"/>
          <w:numId w:val="8"/>
        </w:numPr>
        <w:rPr>
          <w:sz w:val="22"/>
        </w:rPr>
      </w:pPr>
      <w:r w:rsidRPr="00875906">
        <w:rPr>
          <w:sz w:val="22"/>
        </w:rPr>
        <w:t>Socijalna uključenost</w:t>
      </w:r>
    </w:p>
    <w:p w14:paraId="245DC289" w14:textId="77777777" w:rsidR="000A3E83" w:rsidRPr="00875906" w:rsidRDefault="008C7E91">
      <w:pPr>
        <w:pStyle w:val="Bezproreda1"/>
        <w:numPr>
          <w:ilvl w:val="0"/>
          <w:numId w:val="8"/>
        </w:numPr>
        <w:rPr>
          <w:sz w:val="22"/>
        </w:rPr>
      </w:pPr>
      <w:r w:rsidRPr="00875906">
        <w:rPr>
          <w:sz w:val="22"/>
        </w:rPr>
        <w:t>Upravljanje imovinom</w:t>
      </w:r>
    </w:p>
    <w:p w14:paraId="3BFCB8FE" w14:textId="77777777" w:rsidR="000A3E83" w:rsidRPr="00875906" w:rsidRDefault="000A3E83">
      <w:pPr>
        <w:pStyle w:val="Bezproreda1"/>
        <w:ind w:left="720"/>
        <w:rPr>
          <w:sz w:val="22"/>
        </w:rPr>
      </w:pPr>
    </w:p>
    <w:p w14:paraId="6951C897" w14:textId="77777777" w:rsidR="000A3E83" w:rsidRPr="00875906" w:rsidRDefault="008C7E91">
      <w:pPr>
        <w:pStyle w:val="Bezproreda1"/>
        <w:rPr>
          <w:sz w:val="22"/>
        </w:rPr>
      </w:pPr>
      <w:r w:rsidRPr="00875906">
        <w:rPr>
          <w:bCs/>
          <w:sz w:val="22"/>
        </w:rPr>
        <w:lastRenderedPageBreak/>
        <w:t>Navedeni ciljevi u skladu su sa usvojenim Provedbenim programom Općine Kamanje od 2025. do 2029. godine.</w:t>
      </w:r>
    </w:p>
    <w:p w14:paraId="018948FD" w14:textId="77777777" w:rsidR="000A3E83" w:rsidRPr="00875906" w:rsidRDefault="000A3E83">
      <w:pPr>
        <w:pStyle w:val="Bezproreda1"/>
        <w:rPr>
          <w:bCs/>
          <w:sz w:val="22"/>
        </w:rPr>
      </w:pPr>
    </w:p>
    <w:p w14:paraId="0AC1B641" w14:textId="77777777" w:rsidR="000A3E83" w:rsidRPr="00875906" w:rsidRDefault="008C7E91">
      <w:pPr>
        <w:pStyle w:val="Naslov1"/>
        <w:numPr>
          <w:ilvl w:val="0"/>
          <w:numId w:val="13"/>
        </w:numPr>
        <w:rPr>
          <w:rFonts w:ascii="Times New Roman" w:hAnsi="Times New Roman"/>
          <w:sz w:val="22"/>
          <w:szCs w:val="22"/>
          <w:lang w:eastAsia="en-US"/>
        </w:rPr>
      </w:pPr>
      <w:bookmarkStart w:id="3" w:name="_Toc244201161"/>
      <w:r w:rsidRPr="00875906">
        <w:rPr>
          <w:rFonts w:ascii="Times New Roman" w:hAnsi="Times New Roman"/>
          <w:sz w:val="22"/>
          <w:szCs w:val="22"/>
          <w:lang w:eastAsia="en-US"/>
        </w:rPr>
        <w:t>PROCJENA PRIHODA I RASHODA TE PRIMITAKA I IZDATAKA PRORAČUNA OPĆINE KAMANJE ZA RAZDOBLJE 2027.-2029.</w:t>
      </w:r>
      <w:bookmarkEnd w:id="3"/>
    </w:p>
    <w:p w14:paraId="447992C3" w14:textId="77777777" w:rsidR="000A3E83" w:rsidRPr="00875906" w:rsidRDefault="000A3E83">
      <w:pPr>
        <w:pStyle w:val="Bezproreda1"/>
        <w:rPr>
          <w:sz w:val="22"/>
          <w:lang w:eastAsia="en-US"/>
        </w:rPr>
      </w:pPr>
    </w:p>
    <w:p w14:paraId="07001C32" w14:textId="77777777" w:rsidR="000A3E83" w:rsidRPr="00875906" w:rsidRDefault="008C7E91">
      <w:pPr>
        <w:pStyle w:val="Bezproreda1"/>
        <w:ind w:firstLine="708"/>
        <w:jc w:val="both"/>
        <w:rPr>
          <w:sz w:val="22"/>
        </w:rPr>
      </w:pPr>
      <w:r w:rsidRPr="00875906">
        <w:rPr>
          <w:sz w:val="22"/>
        </w:rPr>
        <w:t xml:space="preserve">Općina Kamanje i proračunski korisnik planiraju prihode i primitke iz svog djelokruga rada i iskazuju ih prema vrstama prihoda odnosno po ekonomskoj klasifikaciji (računski plan proračuna) i po izvorima financiranja za trogodišnje razdoblje. </w:t>
      </w:r>
    </w:p>
    <w:p w14:paraId="2A4661C3" w14:textId="77777777" w:rsidR="000A3E83" w:rsidRPr="00875906" w:rsidRDefault="008C7E91">
      <w:pPr>
        <w:pStyle w:val="Bezproreda1"/>
        <w:ind w:firstLine="708"/>
        <w:jc w:val="both"/>
        <w:rPr>
          <w:sz w:val="22"/>
        </w:rPr>
      </w:pPr>
      <w:r w:rsidRPr="00875906">
        <w:rPr>
          <w:sz w:val="22"/>
        </w:rPr>
        <w:t>Osim ekonomske klasifikacije, u izradi plana prihoda proračunski korisnici primjenjuju i klasifikaciju po izvorima financiranja. Prihodi i primici planiraju se, izvršavaju i računovodstveno prate po izvorima financiranja. Izvori financiranja predstavljaju skupine prihoda i primitaka iz kojih se podmiruju rashodi i izdaci određene vrste i utvrđene namjene.</w:t>
      </w:r>
    </w:p>
    <w:p w14:paraId="69214723" w14:textId="77777777" w:rsidR="000A3E83" w:rsidRPr="00875906" w:rsidRDefault="000A3E83">
      <w:pPr>
        <w:pStyle w:val="Bezproreda1"/>
        <w:rPr>
          <w:sz w:val="22"/>
        </w:rPr>
      </w:pPr>
    </w:p>
    <w:p w14:paraId="3CB2E6A0" w14:textId="77777777" w:rsidR="000A3E83" w:rsidRPr="00875906" w:rsidRDefault="008C7E91">
      <w:pPr>
        <w:pStyle w:val="Bezproreda1"/>
        <w:rPr>
          <w:sz w:val="22"/>
        </w:rPr>
      </w:pPr>
      <w:r w:rsidRPr="00875906">
        <w:rPr>
          <w:b/>
          <w:sz w:val="22"/>
          <w:u w:val="single"/>
        </w:rPr>
        <w:t>Osnovni izvori financiranja jesu:</w:t>
      </w:r>
      <w:r w:rsidRPr="00875906">
        <w:rPr>
          <w:sz w:val="22"/>
        </w:rPr>
        <w:t xml:space="preserve"> </w:t>
      </w:r>
    </w:p>
    <w:p w14:paraId="36466AF5" w14:textId="77777777" w:rsidR="000A3E83" w:rsidRPr="00875906" w:rsidRDefault="000A3E83">
      <w:pPr>
        <w:pStyle w:val="Bezproreda1"/>
        <w:rPr>
          <w:sz w:val="22"/>
        </w:rPr>
      </w:pPr>
    </w:p>
    <w:p w14:paraId="468202E2" w14:textId="77777777" w:rsidR="000A3E83" w:rsidRPr="00875906" w:rsidRDefault="008C7E91">
      <w:pPr>
        <w:pStyle w:val="Bezproreda1"/>
        <w:numPr>
          <w:ilvl w:val="0"/>
          <w:numId w:val="9"/>
        </w:numPr>
        <w:rPr>
          <w:sz w:val="22"/>
        </w:rPr>
      </w:pPr>
      <w:r w:rsidRPr="00875906">
        <w:rPr>
          <w:b/>
          <w:sz w:val="22"/>
        </w:rPr>
        <w:t>opći prihodi i primici proračuna</w:t>
      </w:r>
      <w:r w:rsidRPr="00875906">
        <w:rPr>
          <w:sz w:val="22"/>
        </w:rPr>
        <w:t xml:space="preserve"> uključuje prihode od poreza, prihode od financijske imovine, prihode od nefinancijske imovine, prihode od administrativnih (upravnih) pristojbi i prihode od kazni. U opće prihode i primitke proračunski korisnik uključuje prihode koje ostvari iz nadležnog proračuna, a koje planira u okviru podskupine 671 –Prihodi iz nadležnog proračuna za financiranje redovne djelatnosti proračunskih korisnika, </w:t>
      </w:r>
    </w:p>
    <w:p w14:paraId="04B575B1" w14:textId="77777777" w:rsidR="000A3E83" w:rsidRPr="00875906" w:rsidRDefault="008C7E91">
      <w:pPr>
        <w:pStyle w:val="Bezproreda1"/>
        <w:numPr>
          <w:ilvl w:val="0"/>
          <w:numId w:val="9"/>
        </w:numPr>
        <w:rPr>
          <w:sz w:val="22"/>
        </w:rPr>
      </w:pPr>
      <w:r w:rsidRPr="00875906">
        <w:rPr>
          <w:b/>
          <w:sz w:val="22"/>
        </w:rPr>
        <w:t>vlastiti prihodi</w:t>
      </w:r>
      <w:r w:rsidRPr="00875906">
        <w:rPr>
          <w:sz w:val="22"/>
        </w:rPr>
        <w:t xml:space="preserve"> čine prihode koje proračunski korisnik ostvari obavljanjem poslova na tržištu i u tržišnim uvjetima, a koje mogu obavljati i drugi pravni subjekti (iznajmljivanje prostora, obavljanje ugostiteljskih usluga, prihodi od kamata i sl.). Vlastiti prihodi iskazuju se u okviru podskupine 661 – Prihodi od prodaje proizvoda i robe te pruženih usluga, </w:t>
      </w:r>
    </w:p>
    <w:p w14:paraId="4070B5C2" w14:textId="77777777" w:rsidR="000A3E83" w:rsidRPr="00875906" w:rsidRDefault="008C7E91">
      <w:pPr>
        <w:pStyle w:val="Bezproreda1"/>
        <w:numPr>
          <w:ilvl w:val="0"/>
          <w:numId w:val="9"/>
        </w:numPr>
        <w:rPr>
          <w:sz w:val="22"/>
        </w:rPr>
      </w:pPr>
      <w:r w:rsidRPr="00875906">
        <w:rPr>
          <w:b/>
          <w:sz w:val="22"/>
        </w:rPr>
        <w:t>prihodi za posebne namjene</w:t>
      </w:r>
      <w:r w:rsidRPr="00875906">
        <w:rPr>
          <w:sz w:val="22"/>
        </w:rPr>
        <w:t xml:space="preserve"> uključuju prihode čije su korištenje i namjena utvrđeni posebnim zakonima i propisima, a to su za upravna tijela: prihodi od komunalnog doprinosa, komunalne naknade, naknade za koncesije, boravišna pristojba, naknada za zadržavanje nezakonito izgrađenih zgrada i drugo, dok su za proračunske korisnike prihodi od sufinanciranja cijena usluga koje se evidentiraju na računu 652 –sufinanciranje cijene usluge, participacije i sl. (prihodi od članarina  te prihodi od sudjelovanja roditelja u cijeni vrtića i sl.) </w:t>
      </w:r>
    </w:p>
    <w:p w14:paraId="3EF99EA1" w14:textId="77777777" w:rsidR="000A3E83" w:rsidRPr="00875906" w:rsidRDefault="008C7E91">
      <w:pPr>
        <w:pStyle w:val="Bezproreda1"/>
        <w:numPr>
          <w:ilvl w:val="0"/>
          <w:numId w:val="9"/>
        </w:numPr>
        <w:rPr>
          <w:sz w:val="22"/>
        </w:rPr>
      </w:pPr>
      <w:r w:rsidRPr="00875906">
        <w:rPr>
          <w:b/>
          <w:sz w:val="22"/>
        </w:rPr>
        <w:t xml:space="preserve">pomoći </w:t>
      </w:r>
      <w:r w:rsidRPr="00875906">
        <w:rPr>
          <w:sz w:val="22"/>
        </w:rPr>
        <w:t xml:space="preserve">čine prihodi ostvareni od inozemnih vlada, od međunarodnih organizacija te institucija i tijela EU, prihodi iz drugih proračuna te ostalih subjekata unutar općeg proračuna. JLPRS planiraju sredstva EU pomoći na podskupini računa 633 Pomoći proračunu iz drugih proračuna.. Ako proračunski korisnik prima sredstva od proračuna koji im nije nadležan (državni, županijski, općinski proračuni), planira ih na podskupini 636 Pomoći proračunskim korisnicima iz proračuna koji im nije nadležan </w:t>
      </w:r>
    </w:p>
    <w:p w14:paraId="09476773" w14:textId="77777777" w:rsidR="000A3E83" w:rsidRPr="00875906" w:rsidRDefault="008C7E91">
      <w:pPr>
        <w:pStyle w:val="Bezproreda1"/>
        <w:numPr>
          <w:ilvl w:val="0"/>
          <w:numId w:val="9"/>
        </w:numPr>
        <w:rPr>
          <w:sz w:val="22"/>
        </w:rPr>
      </w:pPr>
      <w:r w:rsidRPr="00875906">
        <w:rPr>
          <w:b/>
          <w:sz w:val="22"/>
        </w:rPr>
        <w:t>donacije</w:t>
      </w:r>
      <w:r w:rsidRPr="00875906">
        <w:rPr>
          <w:sz w:val="22"/>
        </w:rPr>
        <w:t xml:space="preserve"> čine prihodi ostvareni od fizičkih osoba, neprofitnih organizacija, trgovačkih društava i od ostalih subjekata izvan općeg proračuna. Proračunski korisnici ne mogu planirati donacije od drugih proračuna i proračunskih korisnika, </w:t>
      </w:r>
    </w:p>
    <w:p w14:paraId="13585BE8" w14:textId="77777777" w:rsidR="000A3E83" w:rsidRPr="00875906" w:rsidRDefault="008C7E91">
      <w:pPr>
        <w:pStyle w:val="Bezproreda1"/>
        <w:numPr>
          <w:ilvl w:val="0"/>
          <w:numId w:val="9"/>
        </w:numPr>
        <w:rPr>
          <w:sz w:val="22"/>
        </w:rPr>
      </w:pPr>
      <w:r w:rsidRPr="00875906">
        <w:rPr>
          <w:b/>
          <w:sz w:val="22"/>
        </w:rPr>
        <w:t>prihodi od prodaje ili zamjene nefinancijske imovine i naknade s naslova</w:t>
      </w:r>
      <w:r w:rsidRPr="00875906">
        <w:rPr>
          <w:sz w:val="22"/>
        </w:rPr>
        <w:t xml:space="preserve"> </w:t>
      </w:r>
      <w:r w:rsidRPr="00875906">
        <w:rPr>
          <w:b/>
          <w:sz w:val="22"/>
        </w:rPr>
        <w:t>osiguranja</w:t>
      </w:r>
      <w:r w:rsidRPr="00875906">
        <w:rPr>
          <w:sz w:val="22"/>
        </w:rPr>
        <w:t xml:space="preserve"> čine sredstva od prodaje ili zamjene nefinancijske imovine i od naknade štete s osnove osiguranja, a mogu se koristiti samo za kapitalne rashode. Kapitalni rashodi jesu: rashodi za nabavu nefinancijske imovine, rashodi za održavanje nefinancijske imovine, za nabavu nefinancijske imovine i dodatna ulaganja u nefinancijsku imovinu te ulaganja u dionice i udjele u trgovačkih društava. U ovaj izvor pripadaju i prihodi od prodaje zemljišta, stambenih  i poslovnih objekata, prihodi od prodaje stanova na kojima je postojalo stanarsko pravo i drugo. </w:t>
      </w:r>
    </w:p>
    <w:p w14:paraId="3FCA7E71" w14:textId="77777777" w:rsidR="000A3E83" w:rsidRPr="00875906" w:rsidRDefault="008C7E91">
      <w:pPr>
        <w:pStyle w:val="Bezproreda1"/>
        <w:numPr>
          <w:ilvl w:val="0"/>
          <w:numId w:val="9"/>
        </w:numPr>
        <w:rPr>
          <w:sz w:val="22"/>
        </w:rPr>
      </w:pPr>
      <w:r w:rsidRPr="00875906">
        <w:rPr>
          <w:b/>
          <w:sz w:val="22"/>
        </w:rPr>
        <w:t>namjenski primici</w:t>
      </w:r>
      <w:r w:rsidRPr="00875906">
        <w:rPr>
          <w:sz w:val="22"/>
        </w:rPr>
        <w:t xml:space="preserve"> uključuju primitke od financijske imovine i zaduživanja, čija je namjena utvrđena posebnim ugovorima i/ili propisima. Napominjemo da se proračunski korisnik prema Zakonu o proračunu ne može dugoročno zadužiti bez suglasnosti Općinskog načelnika, odnosno Općinskog vijeća.</w:t>
      </w:r>
    </w:p>
    <w:p w14:paraId="56618081" w14:textId="77777777" w:rsidR="000A3E83" w:rsidRPr="00875906" w:rsidRDefault="000A3E83">
      <w:pPr>
        <w:pStyle w:val="Bezproreda1"/>
        <w:ind w:left="360"/>
        <w:rPr>
          <w:b/>
          <w:sz w:val="22"/>
        </w:rPr>
      </w:pPr>
    </w:p>
    <w:p w14:paraId="758BAB54" w14:textId="77777777" w:rsidR="000A3E83" w:rsidRPr="00267379" w:rsidRDefault="002D5D9E">
      <w:pPr>
        <w:pStyle w:val="Bezproreda1"/>
        <w:rPr>
          <w:sz w:val="22"/>
        </w:rPr>
      </w:pPr>
      <w:r w:rsidRPr="00267379">
        <w:rPr>
          <w:sz w:val="22"/>
        </w:rPr>
        <w:lastRenderedPageBreak/>
        <w:t>Na temelju dosadašnjeg ostvarenja prihoda, očekivanih gospodarskih i fiskalnih kretanja, važećih propisa, poznatih izvora financiranja te planiranih projekata i aktivnosti, Općina Kamanje procjenjuje sljedeću visinu prihoda i primitaka za razdoblje 2027.–2029.:</w:t>
      </w:r>
    </w:p>
    <w:p w14:paraId="0A38A6E3" w14:textId="77777777" w:rsidR="002D5D9E" w:rsidRPr="00875906" w:rsidRDefault="002D5D9E">
      <w:pPr>
        <w:pStyle w:val="Bezproreda1"/>
        <w:rPr>
          <w:bCs/>
          <w:sz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37"/>
        <w:gridCol w:w="1400"/>
        <w:gridCol w:w="1697"/>
        <w:gridCol w:w="1701"/>
      </w:tblGrid>
      <w:tr w:rsidR="002D5D9E" w:rsidRPr="002D5D9E" w14:paraId="3BE8683E" w14:textId="77777777" w:rsidTr="00267379">
        <w:trPr>
          <w:tblHeader/>
          <w:tblCellSpacing w:w="15" w:type="dxa"/>
        </w:trPr>
        <w:tc>
          <w:tcPr>
            <w:tcW w:w="0" w:type="auto"/>
            <w:vAlign w:val="center"/>
            <w:hideMark/>
          </w:tcPr>
          <w:p w14:paraId="3A66FF33" w14:textId="77777777" w:rsidR="002D5D9E" w:rsidRPr="002D5D9E" w:rsidRDefault="002D5D9E" w:rsidP="002D5D9E">
            <w:pPr>
              <w:suppressAutoHyphens w:val="0"/>
              <w:jc w:val="center"/>
              <w:rPr>
                <w:rFonts w:ascii="Times New Roman" w:eastAsia="Times New Roman" w:hAnsi="Times New Roman" w:cs="Times New Roman"/>
                <w:b/>
                <w:bCs/>
                <w:lang w:eastAsia="hr-HR"/>
              </w:rPr>
            </w:pPr>
            <w:r w:rsidRPr="002D5D9E">
              <w:rPr>
                <w:rFonts w:ascii="Times New Roman" w:eastAsia="Times New Roman" w:hAnsi="Times New Roman" w:cs="Times New Roman"/>
                <w:b/>
                <w:bCs/>
                <w:lang w:eastAsia="hr-HR"/>
              </w:rPr>
              <w:t>Izvor prihoda</w:t>
            </w:r>
          </w:p>
        </w:tc>
        <w:tc>
          <w:tcPr>
            <w:tcW w:w="0" w:type="auto"/>
            <w:vAlign w:val="center"/>
            <w:hideMark/>
          </w:tcPr>
          <w:p w14:paraId="1C590BDD" w14:textId="77777777" w:rsidR="002D5D9E" w:rsidRPr="002D5D9E" w:rsidRDefault="002D5D9E" w:rsidP="002D5D9E">
            <w:pPr>
              <w:suppressAutoHyphens w:val="0"/>
              <w:jc w:val="right"/>
              <w:rPr>
                <w:rFonts w:ascii="Times New Roman" w:eastAsia="Times New Roman" w:hAnsi="Times New Roman" w:cs="Times New Roman"/>
                <w:b/>
                <w:bCs/>
                <w:lang w:eastAsia="hr-HR"/>
              </w:rPr>
            </w:pPr>
            <w:r w:rsidRPr="002D5D9E">
              <w:rPr>
                <w:rFonts w:ascii="Times New Roman" w:eastAsia="Times New Roman" w:hAnsi="Times New Roman" w:cs="Times New Roman"/>
                <w:b/>
                <w:bCs/>
                <w:lang w:eastAsia="hr-HR"/>
              </w:rPr>
              <w:t>2027.</w:t>
            </w:r>
          </w:p>
        </w:tc>
        <w:tc>
          <w:tcPr>
            <w:tcW w:w="1667" w:type="dxa"/>
            <w:vAlign w:val="center"/>
            <w:hideMark/>
          </w:tcPr>
          <w:p w14:paraId="1F28E9F0" w14:textId="77777777" w:rsidR="002D5D9E" w:rsidRPr="002D5D9E" w:rsidRDefault="002D5D9E" w:rsidP="002D5D9E">
            <w:pPr>
              <w:suppressAutoHyphens w:val="0"/>
              <w:jc w:val="right"/>
              <w:rPr>
                <w:rFonts w:ascii="Times New Roman" w:eastAsia="Times New Roman" w:hAnsi="Times New Roman" w:cs="Times New Roman"/>
                <w:b/>
                <w:bCs/>
                <w:lang w:eastAsia="hr-HR"/>
              </w:rPr>
            </w:pPr>
            <w:r w:rsidRPr="002D5D9E">
              <w:rPr>
                <w:rFonts w:ascii="Times New Roman" w:eastAsia="Times New Roman" w:hAnsi="Times New Roman" w:cs="Times New Roman"/>
                <w:b/>
                <w:bCs/>
                <w:lang w:eastAsia="hr-HR"/>
              </w:rPr>
              <w:t>2028.</w:t>
            </w:r>
          </w:p>
        </w:tc>
        <w:tc>
          <w:tcPr>
            <w:tcW w:w="1656" w:type="dxa"/>
            <w:vAlign w:val="center"/>
            <w:hideMark/>
          </w:tcPr>
          <w:p w14:paraId="7FA36F0E" w14:textId="77777777" w:rsidR="002D5D9E" w:rsidRPr="002D5D9E" w:rsidRDefault="002D5D9E" w:rsidP="002D5D9E">
            <w:pPr>
              <w:suppressAutoHyphens w:val="0"/>
              <w:jc w:val="right"/>
              <w:rPr>
                <w:rFonts w:ascii="Times New Roman" w:eastAsia="Times New Roman" w:hAnsi="Times New Roman" w:cs="Times New Roman"/>
                <w:b/>
                <w:bCs/>
                <w:lang w:eastAsia="hr-HR"/>
              </w:rPr>
            </w:pPr>
            <w:r w:rsidRPr="002D5D9E">
              <w:rPr>
                <w:rFonts w:ascii="Times New Roman" w:eastAsia="Times New Roman" w:hAnsi="Times New Roman" w:cs="Times New Roman"/>
                <w:b/>
                <w:bCs/>
                <w:lang w:eastAsia="hr-HR"/>
              </w:rPr>
              <w:t>2029.</w:t>
            </w:r>
          </w:p>
        </w:tc>
      </w:tr>
      <w:tr w:rsidR="002D5D9E" w:rsidRPr="002D5D9E" w14:paraId="286C27CE" w14:textId="77777777" w:rsidTr="00267379">
        <w:trPr>
          <w:tblCellSpacing w:w="15" w:type="dxa"/>
        </w:trPr>
        <w:tc>
          <w:tcPr>
            <w:tcW w:w="0" w:type="auto"/>
            <w:vAlign w:val="center"/>
            <w:hideMark/>
          </w:tcPr>
          <w:p w14:paraId="5DF3EB9D"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Opći prihodi i primici</w:t>
            </w:r>
          </w:p>
        </w:tc>
        <w:tc>
          <w:tcPr>
            <w:tcW w:w="0" w:type="auto"/>
            <w:vAlign w:val="center"/>
            <w:hideMark/>
          </w:tcPr>
          <w:p w14:paraId="71A2BEBF"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493.800,00 €</w:t>
            </w:r>
          </w:p>
        </w:tc>
        <w:tc>
          <w:tcPr>
            <w:tcW w:w="1667" w:type="dxa"/>
            <w:vAlign w:val="center"/>
            <w:hideMark/>
          </w:tcPr>
          <w:p w14:paraId="0B7CA7FE"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503.700,00 €</w:t>
            </w:r>
          </w:p>
        </w:tc>
        <w:tc>
          <w:tcPr>
            <w:tcW w:w="1656" w:type="dxa"/>
            <w:vAlign w:val="center"/>
            <w:hideMark/>
          </w:tcPr>
          <w:p w14:paraId="48455F77"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513.800,00 €</w:t>
            </w:r>
          </w:p>
        </w:tc>
      </w:tr>
      <w:tr w:rsidR="002D5D9E" w:rsidRPr="002D5D9E" w14:paraId="19CDB97E" w14:textId="77777777" w:rsidTr="00267379">
        <w:trPr>
          <w:tblCellSpacing w:w="15" w:type="dxa"/>
        </w:trPr>
        <w:tc>
          <w:tcPr>
            <w:tcW w:w="0" w:type="auto"/>
            <w:vAlign w:val="center"/>
            <w:hideMark/>
          </w:tcPr>
          <w:p w14:paraId="583FDFED"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Vlastiti prihodi</w:t>
            </w:r>
          </w:p>
        </w:tc>
        <w:tc>
          <w:tcPr>
            <w:tcW w:w="0" w:type="auto"/>
            <w:vAlign w:val="center"/>
            <w:hideMark/>
          </w:tcPr>
          <w:p w14:paraId="257E7BFD"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8.000,00 €</w:t>
            </w:r>
          </w:p>
        </w:tc>
        <w:tc>
          <w:tcPr>
            <w:tcW w:w="1667" w:type="dxa"/>
            <w:vAlign w:val="center"/>
            <w:hideMark/>
          </w:tcPr>
          <w:p w14:paraId="00675A2D"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8.000,00 €</w:t>
            </w:r>
          </w:p>
        </w:tc>
        <w:tc>
          <w:tcPr>
            <w:tcW w:w="1656" w:type="dxa"/>
            <w:vAlign w:val="center"/>
            <w:hideMark/>
          </w:tcPr>
          <w:p w14:paraId="17FB2BD8"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8.000,00 €</w:t>
            </w:r>
          </w:p>
        </w:tc>
      </w:tr>
      <w:tr w:rsidR="002D5D9E" w:rsidRPr="002D5D9E" w14:paraId="79BA5159" w14:textId="77777777" w:rsidTr="00267379">
        <w:trPr>
          <w:tblCellSpacing w:w="15" w:type="dxa"/>
        </w:trPr>
        <w:tc>
          <w:tcPr>
            <w:tcW w:w="0" w:type="auto"/>
            <w:vAlign w:val="center"/>
            <w:hideMark/>
          </w:tcPr>
          <w:p w14:paraId="0451C537"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Prihodi za posebne namjene</w:t>
            </w:r>
          </w:p>
        </w:tc>
        <w:tc>
          <w:tcPr>
            <w:tcW w:w="0" w:type="auto"/>
            <w:vAlign w:val="center"/>
            <w:hideMark/>
          </w:tcPr>
          <w:p w14:paraId="50077B9E"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109.160,00 €</w:t>
            </w:r>
          </w:p>
        </w:tc>
        <w:tc>
          <w:tcPr>
            <w:tcW w:w="1667" w:type="dxa"/>
            <w:vAlign w:val="center"/>
            <w:hideMark/>
          </w:tcPr>
          <w:p w14:paraId="4A1E47FA"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111.000,00 €</w:t>
            </w:r>
          </w:p>
        </w:tc>
        <w:tc>
          <w:tcPr>
            <w:tcW w:w="1656" w:type="dxa"/>
            <w:vAlign w:val="center"/>
            <w:hideMark/>
          </w:tcPr>
          <w:p w14:paraId="06BC1D3D"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113.000,00 €</w:t>
            </w:r>
          </w:p>
        </w:tc>
      </w:tr>
      <w:tr w:rsidR="002D5D9E" w:rsidRPr="002D5D9E" w14:paraId="430DB93C" w14:textId="77777777" w:rsidTr="00267379">
        <w:trPr>
          <w:tblCellSpacing w:w="15" w:type="dxa"/>
        </w:trPr>
        <w:tc>
          <w:tcPr>
            <w:tcW w:w="0" w:type="auto"/>
            <w:vAlign w:val="center"/>
            <w:hideMark/>
          </w:tcPr>
          <w:p w14:paraId="7BCFB944"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Pomoći</w:t>
            </w:r>
          </w:p>
        </w:tc>
        <w:tc>
          <w:tcPr>
            <w:tcW w:w="0" w:type="auto"/>
            <w:vAlign w:val="center"/>
            <w:hideMark/>
          </w:tcPr>
          <w:p w14:paraId="6B03624E"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388.040,00 €</w:t>
            </w:r>
          </w:p>
        </w:tc>
        <w:tc>
          <w:tcPr>
            <w:tcW w:w="1667" w:type="dxa"/>
            <w:vAlign w:val="center"/>
            <w:hideMark/>
          </w:tcPr>
          <w:p w14:paraId="7BDF4D3B"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3</w:t>
            </w:r>
            <w:r w:rsidR="00267379" w:rsidRPr="00267379">
              <w:rPr>
                <w:rFonts w:ascii="Times New Roman" w:eastAsia="Times New Roman" w:hAnsi="Times New Roman" w:cs="Times New Roman"/>
                <w:lang w:eastAsia="hr-HR"/>
              </w:rPr>
              <w:t>50.300</w:t>
            </w:r>
            <w:r w:rsidRPr="002D5D9E">
              <w:rPr>
                <w:rFonts w:ascii="Times New Roman" w:eastAsia="Times New Roman" w:hAnsi="Times New Roman" w:cs="Times New Roman"/>
                <w:lang w:eastAsia="hr-HR"/>
              </w:rPr>
              <w:t>,00 €</w:t>
            </w:r>
          </w:p>
        </w:tc>
        <w:tc>
          <w:tcPr>
            <w:tcW w:w="1656" w:type="dxa"/>
            <w:vAlign w:val="center"/>
            <w:hideMark/>
          </w:tcPr>
          <w:p w14:paraId="40A2DD39"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3</w:t>
            </w:r>
            <w:r w:rsidR="00267379" w:rsidRPr="00267379">
              <w:rPr>
                <w:rFonts w:ascii="Times New Roman" w:eastAsia="Times New Roman" w:hAnsi="Times New Roman" w:cs="Times New Roman"/>
                <w:lang w:eastAsia="hr-HR"/>
              </w:rPr>
              <w:t>50.20</w:t>
            </w:r>
            <w:r w:rsidRPr="002D5D9E">
              <w:rPr>
                <w:rFonts w:ascii="Times New Roman" w:eastAsia="Times New Roman" w:hAnsi="Times New Roman" w:cs="Times New Roman"/>
                <w:lang w:eastAsia="hr-HR"/>
              </w:rPr>
              <w:t>0,00 €</w:t>
            </w:r>
          </w:p>
        </w:tc>
      </w:tr>
      <w:tr w:rsidR="002D5D9E" w:rsidRPr="002D5D9E" w14:paraId="1DABE12E" w14:textId="77777777" w:rsidTr="00267379">
        <w:trPr>
          <w:tblCellSpacing w:w="15" w:type="dxa"/>
        </w:trPr>
        <w:tc>
          <w:tcPr>
            <w:tcW w:w="0" w:type="auto"/>
            <w:vAlign w:val="center"/>
            <w:hideMark/>
          </w:tcPr>
          <w:p w14:paraId="0088115C"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Donacije</w:t>
            </w:r>
          </w:p>
        </w:tc>
        <w:tc>
          <w:tcPr>
            <w:tcW w:w="0" w:type="auto"/>
            <w:vAlign w:val="center"/>
            <w:hideMark/>
          </w:tcPr>
          <w:p w14:paraId="7F0EB2BC"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c>
          <w:tcPr>
            <w:tcW w:w="1667" w:type="dxa"/>
            <w:vAlign w:val="center"/>
            <w:hideMark/>
          </w:tcPr>
          <w:p w14:paraId="71EBDEF7"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c>
          <w:tcPr>
            <w:tcW w:w="1656" w:type="dxa"/>
            <w:vAlign w:val="center"/>
            <w:hideMark/>
          </w:tcPr>
          <w:p w14:paraId="00D59B1A"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r>
      <w:tr w:rsidR="002D5D9E" w:rsidRPr="002D5D9E" w14:paraId="1FB280B9" w14:textId="77777777" w:rsidTr="00267379">
        <w:trPr>
          <w:tblCellSpacing w:w="15" w:type="dxa"/>
        </w:trPr>
        <w:tc>
          <w:tcPr>
            <w:tcW w:w="0" w:type="auto"/>
            <w:vAlign w:val="center"/>
            <w:hideMark/>
          </w:tcPr>
          <w:p w14:paraId="65EA660B"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Prihodi od prodaje nefinancijske imovine</w:t>
            </w:r>
          </w:p>
        </w:tc>
        <w:tc>
          <w:tcPr>
            <w:tcW w:w="0" w:type="auto"/>
            <w:vAlign w:val="center"/>
            <w:hideMark/>
          </w:tcPr>
          <w:p w14:paraId="6C59B283"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c>
          <w:tcPr>
            <w:tcW w:w="1667" w:type="dxa"/>
            <w:vAlign w:val="center"/>
            <w:hideMark/>
          </w:tcPr>
          <w:p w14:paraId="48222D25"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c>
          <w:tcPr>
            <w:tcW w:w="1656" w:type="dxa"/>
            <w:vAlign w:val="center"/>
            <w:hideMark/>
          </w:tcPr>
          <w:p w14:paraId="622AD176"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lang w:eastAsia="hr-HR"/>
              </w:rPr>
              <w:t>1.000,00 €</w:t>
            </w:r>
          </w:p>
        </w:tc>
      </w:tr>
      <w:tr w:rsidR="002D5D9E" w:rsidRPr="002D5D9E" w14:paraId="4CC244D1" w14:textId="77777777" w:rsidTr="00267379">
        <w:trPr>
          <w:tblCellSpacing w:w="15" w:type="dxa"/>
        </w:trPr>
        <w:tc>
          <w:tcPr>
            <w:tcW w:w="0" w:type="auto"/>
            <w:vAlign w:val="center"/>
            <w:hideMark/>
          </w:tcPr>
          <w:p w14:paraId="1E00FF6B" w14:textId="77777777" w:rsidR="002D5D9E" w:rsidRPr="002D5D9E" w:rsidRDefault="002D5D9E" w:rsidP="002D5D9E">
            <w:pPr>
              <w:suppressAutoHyphens w:val="0"/>
              <w:rPr>
                <w:rFonts w:ascii="Times New Roman" w:eastAsia="Times New Roman" w:hAnsi="Times New Roman" w:cs="Times New Roman"/>
                <w:lang w:eastAsia="hr-HR"/>
              </w:rPr>
            </w:pPr>
            <w:r w:rsidRPr="002D5D9E">
              <w:rPr>
                <w:rFonts w:ascii="Times New Roman" w:eastAsia="Times New Roman" w:hAnsi="Times New Roman" w:cs="Times New Roman"/>
                <w:b/>
                <w:bCs/>
                <w:lang w:eastAsia="hr-HR"/>
              </w:rPr>
              <w:t>UKUPNO</w:t>
            </w:r>
          </w:p>
        </w:tc>
        <w:tc>
          <w:tcPr>
            <w:tcW w:w="0" w:type="auto"/>
            <w:vAlign w:val="center"/>
            <w:hideMark/>
          </w:tcPr>
          <w:p w14:paraId="275366EB"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b/>
                <w:bCs/>
                <w:lang w:eastAsia="hr-HR"/>
              </w:rPr>
              <w:t>1.001.000,00 €</w:t>
            </w:r>
          </w:p>
        </w:tc>
        <w:tc>
          <w:tcPr>
            <w:tcW w:w="1667" w:type="dxa"/>
            <w:vAlign w:val="center"/>
            <w:hideMark/>
          </w:tcPr>
          <w:p w14:paraId="459FFDF1" w14:textId="77777777" w:rsidR="002D5D9E" w:rsidRPr="002D5D9E" w:rsidRDefault="002D5D9E" w:rsidP="002D5D9E">
            <w:pPr>
              <w:suppressAutoHyphens w:val="0"/>
              <w:jc w:val="right"/>
              <w:rPr>
                <w:rFonts w:ascii="Times New Roman" w:eastAsia="Times New Roman" w:hAnsi="Times New Roman" w:cs="Times New Roman"/>
                <w:lang w:eastAsia="hr-HR"/>
              </w:rPr>
            </w:pPr>
            <w:r w:rsidRPr="002D5D9E">
              <w:rPr>
                <w:rFonts w:ascii="Times New Roman" w:eastAsia="Times New Roman" w:hAnsi="Times New Roman" w:cs="Times New Roman"/>
                <w:b/>
                <w:bCs/>
                <w:lang w:eastAsia="hr-HR"/>
              </w:rPr>
              <w:t>9</w:t>
            </w:r>
            <w:r w:rsidR="00267379" w:rsidRPr="00267379">
              <w:rPr>
                <w:rFonts w:ascii="Times New Roman" w:eastAsia="Times New Roman" w:hAnsi="Times New Roman" w:cs="Times New Roman"/>
                <w:b/>
                <w:bCs/>
                <w:lang w:eastAsia="hr-HR"/>
              </w:rPr>
              <w:t>75.000</w:t>
            </w:r>
            <w:r w:rsidRPr="002D5D9E">
              <w:rPr>
                <w:rFonts w:ascii="Times New Roman" w:eastAsia="Times New Roman" w:hAnsi="Times New Roman" w:cs="Times New Roman"/>
                <w:b/>
                <w:bCs/>
                <w:lang w:eastAsia="hr-HR"/>
              </w:rPr>
              <w:t>,00 €</w:t>
            </w:r>
          </w:p>
        </w:tc>
        <w:tc>
          <w:tcPr>
            <w:tcW w:w="1656" w:type="dxa"/>
            <w:vAlign w:val="center"/>
            <w:hideMark/>
          </w:tcPr>
          <w:p w14:paraId="25DDE5B6" w14:textId="77777777" w:rsidR="002D5D9E" w:rsidRPr="002D5D9E" w:rsidRDefault="00267379" w:rsidP="002D5D9E">
            <w:pPr>
              <w:suppressAutoHyphens w:val="0"/>
              <w:jc w:val="right"/>
              <w:rPr>
                <w:rFonts w:ascii="Times New Roman" w:eastAsia="Times New Roman" w:hAnsi="Times New Roman" w:cs="Times New Roman"/>
                <w:lang w:eastAsia="hr-HR"/>
              </w:rPr>
            </w:pPr>
            <w:r w:rsidRPr="00267379">
              <w:rPr>
                <w:rFonts w:ascii="Times New Roman" w:eastAsia="Times New Roman" w:hAnsi="Times New Roman" w:cs="Times New Roman"/>
                <w:b/>
                <w:bCs/>
                <w:lang w:eastAsia="hr-HR"/>
              </w:rPr>
              <w:t>986.000</w:t>
            </w:r>
            <w:r w:rsidR="002D5D9E" w:rsidRPr="002D5D9E">
              <w:rPr>
                <w:rFonts w:ascii="Times New Roman" w:eastAsia="Times New Roman" w:hAnsi="Times New Roman" w:cs="Times New Roman"/>
                <w:b/>
                <w:bCs/>
                <w:lang w:eastAsia="hr-HR"/>
              </w:rPr>
              <w:t>,00 €</w:t>
            </w:r>
          </w:p>
        </w:tc>
      </w:tr>
    </w:tbl>
    <w:p w14:paraId="53D6EDA0" w14:textId="77777777" w:rsidR="000A3E83" w:rsidRPr="00875906" w:rsidRDefault="000A3E83">
      <w:pPr>
        <w:pStyle w:val="Bezproreda1"/>
        <w:ind w:left="360"/>
        <w:rPr>
          <w:bCs/>
          <w:sz w:val="22"/>
        </w:rPr>
      </w:pPr>
    </w:p>
    <w:p w14:paraId="7766FBF2" w14:textId="77777777" w:rsidR="000A3E83" w:rsidRPr="00875906" w:rsidRDefault="000A3E83">
      <w:pPr>
        <w:pStyle w:val="Bezproreda1"/>
        <w:rPr>
          <w:bCs/>
          <w:sz w:val="22"/>
        </w:rPr>
      </w:pPr>
    </w:p>
    <w:p w14:paraId="44DC778A" w14:textId="77777777" w:rsidR="000A3E83" w:rsidRPr="00875906" w:rsidRDefault="008C7E91">
      <w:pPr>
        <w:pStyle w:val="Bezproreda1"/>
        <w:jc w:val="both"/>
        <w:rPr>
          <w:sz w:val="22"/>
        </w:rPr>
      </w:pPr>
      <w:r w:rsidRPr="00875906">
        <w:rPr>
          <w:sz w:val="22"/>
        </w:rPr>
        <w:t xml:space="preserve">Rashodi će se za sljedeće trogodišnje razdoblje rasporediti prema proračunskim klasifikacijama (programska, ekonomska, funkcijska i izvori financiranja) u skladu s Pravilnikom o proračunskim klasifikacijama i Pravilnikom o proračunskom računovodstvu i računskom planu.  Kako financijski plan korisnika treba biti uravnotežen, izuzev prihoda i rashoda (korisnici najčešće nemaju primitaka i izdataka) potrebno je u plan uključiti i predviđeni manjak, odnosno višak prihoda te s navedenim bilančnim kategorijama postići uravnoteženje. </w:t>
      </w:r>
    </w:p>
    <w:p w14:paraId="58E2B017" w14:textId="77777777" w:rsidR="000A3E83" w:rsidRPr="00875906" w:rsidRDefault="000A3E83">
      <w:pPr>
        <w:pStyle w:val="Bezproreda1"/>
        <w:rPr>
          <w:sz w:val="22"/>
        </w:rPr>
      </w:pPr>
    </w:p>
    <w:p w14:paraId="0B8A3CB9" w14:textId="77777777" w:rsidR="000A3E83" w:rsidRPr="00875906" w:rsidRDefault="008C7E91">
      <w:pPr>
        <w:pStyle w:val="Naslov2"/>
        <w:numPr>
          <w:ilvl w:val="0"/>
          <w:numId w:val="13"/>
        </w:numPr>
        <w:rPr>
          <w:rFonts w:ascii="Times New Roman" w:hAnsi="Times New Roman"/>
          <w:sz w:val="22"/>
          <w:szCs w:val="22"/>
        </w:rPr>
      </w:pPr>
      <w:bookmarkStart w:id="4" w:name="_Toc244201162"/>
      <w:r w:rsidRPr="00875906">
        <w:rPr>
          <w:rFonts w:ascii="Times New Roman" w:hAnsi="Times New Roman"/>
          <w:sz w:val="22"/>
          <w:szCs w:val="22"/>
        </w:rPr>
        <w:t>VISINA RASHODA KOJI SE FINANCIRAJU IZ OPĆIH PRIHODA I PRIMITAKA TE NAMJENSKIH PRIMITAKA PO RAZDJELIMA ORGANIZACIJSKE KLASIFIKACIJE, 2027.-2029.- Limiti proračunski korisnici</w:t>
      </w:r>
      <w:bookmarkEnd w:id="4"/>
    </w:p>
    <w:p w14:paraId="51483AEE" w14:textId="77777777" w:rsidR="000A3E83" w:rsidRPr="00875906" w:rsidRDefault="000A3E83">
      <w:pPr>
        <w:rPr>
          <w:rFonts w:ascii="Times New Roman" w:hAnsi="Times New Roman" w:cs="Times New Roman"/>
        </w:rPr>
      </w:pPr>
    </w:p>
    <w:p w14:paraId="5B099F5D" w14:textId="77777777" w:rsidR="000A3E83" w:rsidRPr="00875906" w:rsidRDefault="008C7E91">
      <w:pPr>
        <w:numPr>
          <w:ilvl w:val="0"/>
          <w:numId w:val="7"/>
        </w:numPr>
        <w:jc w:val="both"/>
        <w:rPr>
          <w:rFonts w:ascii="Times New Roman" w:hAnsi="Times New Roman" w:cs="Times New Roman"/>
        </w:rPr>
      </w:pPr>
      <w:r w:rsidRPr="00875906">
        <w:rPr>
          <w:rFonts w:ascii="Times New Roman" w:hAnsi="Times New Roman" w:cs="Times New Roman"/>
        </w:rPr>
        <w:t>visina rashoda potrebnih za provedbu postojećih programa odnosno aktivnosti</w:t>
      </w:r>
    </w:p>
    <w:p w14:paraId="1B33AA00" w14:textId="77777777" w:rsidR="000A3E83" w:rsidRPr="00875906" w:rsidRDefault="008C7E91">
      <w:pPr>
        <w:numPr>
          <w:ilvl w:val="0"/>
          <w:numId w:val="7"/>
        </w:numPr>
        <w:jc w:val="both"/>
        <w:rPr>
          <w:rFonts w:ascii="Times New Roman" w:hAnsi="Times New Roman" w:cs="Times New Roman"/>
        </w:rPr>
      </w:pPr>
      <w:r w:rsidRPr="00875906">
        <w:rPr>
          <w:rFonts w:ascii="Times New Roman" w:hAnsi="Times New Roman" w:cs="Times New Roman"/>
        </w:rPr>
        <w:t>visina rashoda potrebnih za uvođenje i provedbu novih ili promjenu postojećih programa odnosno aktivnosti</w:t>
      </w:r>
    </w:p>
    <w:p w14:paraId="280D751A" w14:textId="77777777" w:rsidR="000A3E83" w:rsidRPr="00875906" w:rsidRDefault="000A3E83">
      <w:pPr>
        <w:jc w:val="both"/>
        <w:rPr>
          <w:rFonts w:ascii="Times New Roman" w:hAnsi="Times New Roman" w:cs="Times New Roman"/>
        </w:rPr>
      </w:pPr>
    </w:p>
    <w:p w14:paraId="27523BA4"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Sukladno članku 26. Zakona o proračunu Jedinstveni upravni odjel dužan je utvrditi visinu rashoda potrebnih za provedbu postojećih programa odnosno aktivnosti te visinu potrebnih za uvođenje i provedbu novih ili promjenu postojećih programa odnosno aktivnosti odnosno dvojne limite.</w:t>
      </w:r>
    </w:p>
    <w:p w14:paraId="18C6CA36" w14:textId="77777777" w:rsidR="000A3E83" w:rsidRPr="00875906" w:rsidRDefault="008C7E91">
      <w:pPr>
        <w:pStyle w:val="Odlomakpopisa1"/>
        <w:ind w:left="0"/>
        <w:jc w:val="both"/>
        <w:rPr>
          <w:rFonts w:ascii="Times New Roman" w:hAnsi="Times New Roman" w:cs="Times New Roman"/>
        </w:rPr>
      </w:pPr>
      <w:r w:rsidRPr="00875906">
        <w:rPr>
          <w:rFonts w:ascii="Times New Roman" w:hAnsi="Times New Roman" w:cs="Times New Roman"/>
        </w:rPr>
        <w:t>Dvojni limiti utvrđuju se za rashode koji se financiraju iz općih prihoda i primitaka te namjenskih primitaka, u skladu s člankom 26. Zakona o proračunu. Vlastiti i ostali namjenski izvori proračunskog korisnika planiraju se prema realno očekivanom ostvarenju i namjeni utvrđenoj propisima, ugovorima ili drugim aktima.</w:t>
      </w:r>
    </w:p>
    <w:p w14:paraId="1D4845F9" w14:textId="77777777" w:rsidR="000A3E83" w:rsidRPr="00875906" w:rsidRDefault="000A3E83">
      <w:pPr>
        <w:pStyle w:val="Odlomakpopisa1"/>
        <w:ind w:left="0"/>
        <w:jc w:val="both"/>
        <w:rPr>
          <w:rFonts w:ascii="Times New Roman" w:hAnsi="Times New Roman" w:cs="Times New Roman"/>
        </w:rPr>
      </w:pPr>
    </w:p>
    <w:p w14:paraId="78B11874" w14:textId="77777777" w:rsidR="000A3E83" w:rsidRPr="00875906" w:rsidRDefault="008C7E91">
      <w:pPr>
        <w:pStyle w:val="Odlomakpopisa1"/>
        <w:ind w:left="0"/>
        <w:jc w:val="both"/>
        <w:rPr>
          <w:rFonts w:ascii="Times New Roman" w:hAnsi="Times New Roman" w:cs="Times New Roman"/>
        </w:rPr>
      </w:pPr>
      <w:r w:rsidRPr="00875906">
        <w:rPr>
          <w:rFonts w:ascii="Times New Roman" w:hAnsi="Times New Roman" w:cs="Times New Roman"/>
        </w:rPr>
        <w:t xml:space="preserve">Limit 1. odnosi se na sredstva potrebna za provedbu postojećih programa, odnosno aktivnosti (troškovi održavanja postojeće razine usluga, uzimajući u obzir primjerice očekivane promjene u broju korisnika, promjene u razine i vrste usluga i sl.). </w:t>
      </w:r>
    </w:p>
    <w:p w14:paraId="3D04006B" w14:textId="77777777" w:rsidR="000A3E83" w:rsidRPr="00875906" w:rsidRDefault="008C7E91">
      <w:pPr>
        <w:pStyle w:val="Odlomakpopisa1"/>
        <w:ind w:left="0"/>
        <w:jc w:val="both"/>
        <w:rPr>
          <w:rFonts w:ascii="Times New Roman" w:hAnsi="Times New Roman" w:cs="Times New Roman"/>
          <w:b/>
          <w:bCs/>
        </w:rPr>
      </w:pPr>
      <w:r w:rsidRPr="00875906">
        <w:rPr>
          <w:rFonts w:ascii="Times New Roman" w:hAnsi="Times New Roman" w:cs="Times New Roman"/>
        </w:rPr>
        <w:t>Limit 2. odnosi se na sredstva potrebna za provedbu novih ili promjenu postojećih programa ili aktivnosti. Navedeni limiti proračunskog korisnika DV Kamanje odnose se na sredstva koja se financiraju iz Proračuna Općine Kamanje.</w:t>
      </w:r>
    </w:p>
    <w:p w14:paraId="5D90E076" w14:textId="77777777" w:rsidR="000A3E83" w:rsidRPr="00875906" w:rsidRDefault="000A3E83">
      <w:pPr>
        <w:rPr>
          <w:rFonts w:ascii="Times New Roman" w:hAnsi="Times New Roman" w:cs="Times New Roman"/>
          <w:b/>
          <w:bCs/>
        </w:rPr>
      </w:pPr>
    </w:p>
    <w:tbl>
      <w:tblPr>
        <w:tblW w:w="9580" w:type="dxa"/>
        <w:tblLayout w:type="fixed"/>
        <w:tblLook w:val="04A0" w:firstRow="1" w:lastRow="0" w:firstColumn="1" w:lastColumn="0" w:noHBand="0" w:noVBand="1"/>
      </w:tblPr>
      <w:tblGrid>
        <w:gridCol w:w="2098"/>
        <w:gridCol w:w="1247"/>
        <w:gridCol w:w="1247"/>
        <w:gridCol w:w="1247"/>
        <w:gridCol w:w="1247"/>
        <w:gridCol w:w="1247"/>
        <w:gridCol w:w="1247"/>
      </w:tblGrid>
      <w:tr w:rsidR="000A3E83" w:rsidRPr="00875906" w14:paraId="05D5FB1B" w14:textId="77777777">
        <w:tc>
          <w:tcPr>
            <w:tcW w:w="2098" w:type="dxa"/>
            <w:tcBorders>
              <w:top w:val="single" w:sz="4" w:space="0" w:color="000000"/>
              <w:left w:val="single" w:sz="4" w:space="0" w:color="000000"/>
              <w:bottom w:val="single" w:sz="4" w:space="0" w:color="000000"/>
              <w:right w:val="single" w:sz="4" w:space="0" w:color="000000"/>
            </w:tcBorders>
            <w:vAlign w:val="center"/>
          </w:tcPr>
          <w:p w14:paraId="19FFF5AC" w14:textId="77777777" w:rsidR="000A3E83" w:rsidRPr="00875906" w:rsidRDefault="008C7E91">
            <w:pPr>
              <w:rPr>
                <w:rFonts w:ascii="Times New Roman" w:hAnsi="Times New Roman" w:cs="Times New Roman"/>
              </w:rPr>
            </w:pPr>
            <w:r w:rsidRPr="00875906">
              <w:rPr>
                <w:rFonts w:ascii="Times New Roman" w:hAnsi="Times New Roman" w:cs="Times New Roman"/>
              </w:rPr>
              <w:t>PRORAČUNSKI KORISNIK</w:t>
            </w:r>
          </w:p>
        </w:tc>
        <w:tc>
          <w:tcPr>
            <w:tcW w:w="1247" w:type="dxa"/>
            <w:tcBorders>
              <w:top w:val="single" w:sz="4" w:space="0" w:color="000000"/>
              <w:left w:val="single" w:sz="4" w:space="0" w:color="000000"/>
              <w:bottom w:val="single" w:sz="4" w:space="0" w:color="000000"/>
              <w:right w:val="single" w:sz="4" w:space="0" w:color="000000"/>
            </w:tcBorders>
            <w:vAlign w:val="center"/>
          </w:tcPr>
          <w:p w14:paraId="0B80830E" w14:textId="77777777" w:rsidR="000A3E83" w:rsidRPr="00875906" w:rsidRDefault="008C7E91">
            <w:pPr>
              <w:rPr>
                <w:rFonts w:ascii="Times New Roman" w:hAnsi="Times New Roman" w:cs="Times New Roman"/>
              </w:rPr>
            </w:pPr>
            <w:r w:rsidRPr="00875906">
              <w:rPr>
                <w:rFonts w:ascii="Times New Roman" w:hAnsi="Times New Roman" w:cs="Times New Roman"/>
              </w:rPr>
              <w:t>2027.</w:t>
            </w:r>
            <w:r w:rsidRPr="00875906">
              <w:rPr>
                <w:rFonts w:ascii="Times New Roman" w:hAnsi="Times New Roman" w:cs="Times New Roman"/>
              </w:rPr>
              <w:br/>
              <w:t>Limit 1.</w:t>
            </w:r>
          </w:p>
        </w:tc>
        <w:tc>
          <w:tcPr>
            <w:tcW w:w="1247" w:type="dxa"/>
            <w:tcBorders>
              <w:top w:val="single" w:sz="4" w:space="0" w:color="000000"/>
              <w:left w:val="single" w:sz="4" w:space="0" w:color="000000"/>
              <w:bottom w:val="single" w:sz="4" w:space="0" w:color="000000"/>
              <w:right w:val="single" w:sz="4" w:space="0" w:color="000000"/>
            </w:tcBorders>
            <w:vAlign w:val="center"/>
          </w:tcPr>
          <w:p w14:paraId="5C307312" w14:textId="77777777" w:rsidR="000A3E83" w:rsidRPr="00875906" w:rsidRDefault="008C7E91">
            <w:pPr>
              <w:rPr>
                <w:rFonts w:ascii="Times New Roman" w:hAnsi="Times New Roman" w:cs="Times New Roman"/>
              </w:rPr>
            </w:pPr>
            <w:r w:rsidRPr="00875906">
              <w:rPr>
                <w:rFonts w:ascii="Times New Roman" w:hAnsi="Times New Roman" w:cs="Times New Roman"/>
              </w:rPr>
              <w:t>2027. Limit 2.</w:t>
            </w:r>
          </w:p>
        </w:tc>
        <w:tc>
          <w:tcPr>
            <w:tcW w:w="1247" w:type="dxa"/>
            <w:tcBorders>
              <w:top w:val="single" w:sz="4" w:space="0" w:color="000000"/>
              <w:left w:val="single" w:sz="4" w:space="0" w:color="000000"/>
              <w:bottom w:val="single" w:sz="4" w:space="0" w:color="000000"/>
              <w:right w:val="single" w:sz="4" w:space="0" w:color="000000"/>
            </w:tcBorders>
            <w:vAlign w:val="center"/>
          </w:tcPr>
          <w:p w14:paraId="49BB6237" w14:textId="77777777" w:rsidR="000A3E83" w:rsidRPr="00875906" w:rsidRDefault="008C7E91">
            <w:pPr>
              <w:rPr>
                <w:rFonts w:ascii="Times New Roman" w:hAnsi="Times New Roman" w:cs="Times New Roman"/>
              </w:rPr>
            </w:pPr>
            <w:r w:rsidRPr="00875906">
              <w:rPr>
                <w:rFonts w:ascii="Times New Roman" w:hAnsi="Times New Roman" w:cs="Times New Roman"/>
              </w:rPr>
              <w:t>2028. Limit 1.</w:t>
            </w:r>
          </w:p>
        </w:tc>
        <w:tc>
          <w:tcPr>
            <w:tcW w:w="1247" w:type="dxa"/>
            <w:tcBorders>
              <w:top w:val="single" w:sz="4" w:space="0" w:color="000000"/>
              <w:left w:val="single" w:sz="4" w:space="0" w:color="000000"/>
              <w:bottom w:val="single" w:sz="4" w:space="0" w:color="000000"/>
              <w:right w:val="single" w:sz="4" w:space="0" w:color="000000"/>
            </w:tcBorders>
            <w:vAlign w:val="center"/>
          </w:tcPr>
          <w:p w14:paraId="34B3A84E" w14:textId="77777777" w:rsidR="000A3E83" w:rsidRPr="00875906" w:rsidRDefault="008C7E91">
            <w:pPr>
              <w:rPr>
                <w:rFonts w:ascii="Times New Roman" w:hAnsi="Times New Roman" w:cs="Times New Roman"/>
              </w:rPr>
            </w:pPr>
            <w:r w:rsidRPr="00875906">
              <w:rPr>
                <w:rFonts w:ascii="Times New Roman" w:hAnsi="Times New Roman" w:cs="Times New Roman"/>
              </w:rPr>
              <w:t>2028. Limit 2.</w:t>
            </w:r>
          </w:p>
        </w:tc>
        <w:tc>
          <w:tcPr>
            <w:tcW w:w="1247" w:type="dxa"/>
            <w:tcBorders>
              <w:top w:val="single" w:sz="4" w:space="0" w:color="000000"/>
              <w:left w:val="single" w:sz="4" w:space="0" w:color="000000"/>
              <w:bottom w:val="single" w:sz="4" w:space="0" w:color="000000"/>
              <w:right w:val="single" w:sz="4" w:space="0" w:color="000000"/>
            </w:tcBorders>
            <w:vAlign w:val="center"/>
          </w:tcPr>
          <w:p w14:paraId="6B4C8762" w14:textId="77777777" w:rsidR="000A3E83" w:rsidRPr="00875906" w:rsidRDefault="008C7E91">
            <w:pPr>
              <w:rPr>
                <w:rFonts w:ascii="Times New Roman" w:hAnsi="Times New Roman" w:cs="Times New Roman"/>
              </w:rPr>
            </w:pPr>
            <w:r w:rsidRPr="00875906">
              <w:rPr>
                <w:rFonts w:ascii="Times New Roman" w:hAnsi="Times New Roman" w:cs="Times New Roman"/>
              </w:rPr>
              <w:t>2029. Limit 1.</w:t>
            </w:r>
          </w:p>
        </w:tc>
        <w:tc>
          <w:tcPr>
            <w:tcW w:w="1247" w:type="dxa"/>
            <w:tcBorders>
              <w:top w:val="single" w:sz="4" w:space="0" w:color="000000"/>
              <w:left w:val="single" w:sz="4" w:space="0" w:color="000000"/>
              <w:bottom w:val="single" w:sz="4" w:space="0" w:color="000000"/>
              <w:right w:val="single" w:sz="4" w:space="0" w:color="000000"/>
            </w:tcBorders>
            <w:vAlign w:val="center"/>
          </w:tcPr>
          <w:p w14:paraId="71F2ACA4" w14:textId="77777777" w:rsidR="000A3E83" w:rsidRPr="00875906" w:rsidRDefault="008C7E91">
            <w:pPr>
              <w:rPr>
                <w:rFonts w:ascii="Times New Roman" w:hAnsi="Times New Roman" w:cs="Times New Roman"/>
              </w:rPr>
            </w:pPr>
            <w:r w:rsidRPr="00875906">
              <w:rPr>
                <w:rFonts w:ascii="Times New Roman" w:hAnsi="Times New Roman" w:cs="Times New Roman"/>
              </w:rPr>
              <w:t>2029. Limit 2.</w:t>
            </w:r>
          </w:p>
        </w:tc>
      </w:tr>
      <w:tr w:rsidR="000A3E83" w:rsidRPr="00875906" w14:paraId="7816EE09" w14:textId="77777777">
        <w:tc>
          <w:tcPr>
            <w:tcW w:w="2098" w:type="dxa"/>
            <w:tcBorders>
              <w:top w:val="single" w:sz="4" w:space="0" w:color="000000"/>
              <w:left w:val="single" w:sz="4" w:space="0" w:color="000000"/>
              <w:bottom w:val="single" w:sz="4" w:space="0" w:color="000000"/>
              <w:right w:val="single" w:sz="4" w:space="0" w:color="000000"/>
            </w:tcBorders>
          </w:tcPr>
          <w:p w14:paraId="7D0EE118" w14:textId="77777777" w:rsidR="000A3E83" w:rsidRPr="00875906" w:rsidRDefault="008C7E91">
            <w:pPr>
              <w:rPr>
                <w:rFonts w:ascii="Times New Roman" w:hAnsi="Times New Roman" w:cs="Times New Roman"/>
              </w:rPr>
            </w:pPr>
            <w:r w:rsidRPr="00875906">
              <w:rPr>
                <w:rFonts w:ascii="Times New Roman" w:hAnsi="Times New Roman" w:cs="Times New Roman"/>
              </w:rPr>
              <w:t xml:space="preserve">DJEČJI VRTIĆ </w:t>
            </w:r>
            <w:r w:rsidRPr="00875906">
              <w:rPr>
                <w:rFonts w:ascii="Times New Roman" w:hAnsi="Times New Roman" w:cs="Times New Roman"/>
              </w:rPr>
              <w:br/>
              <w:t>KAMANJE</w:t>
            </w:r>
          </w:p>
        </w:tc>
        <w:tc>
          <w:tcPr>
            <w:tcW w:w="1247" w:type="dxa"/>
            <w:tcBorders>
              <w:top w:val="single" w:sz="4" w:space="0" w:color="000000"/>
              <w:left w:val="single" w:sz="4" w:space="0" w:color="000000"/>
              <w:bottom w:val="single" w:sz="4" w:space="0" w:color="000000"/>
              <w:right w:val="single" w:sz="4" w:space="0" w:color="000000"/>
            </w:tcBorders>
            <w:vAlign w:val="center"/>
          </w:tcPr>
          <w:p w14:paraId="3EDE4EF4" w14:textId="77777777" w:rsidR="000A3E83" w:rsidRPr="00875906" w:rsidRDefault="008C7E91">
            <w:pPr>
              <w:rPr>
                <w:rFonts w:ascii="Times New Roman" w:hAnsi="Times New Roman" w:cs="Times New Roman"/>
              </w:rPr>
            </w:pPr>
            <w:r w:rsidRPr="00875906">
              <w:rPr>
                <w:rFonts w:ascii="Times New Roman" w:hAnsi="Times New Roman" w:cs="Times New Roman"/>
              </w:rPr>
              <w:t>1</w:t>
            </w:r>
            <w:r w:rsidR="00165CB9">
              <w:rPr>
                <w:rFonts w:ascii="Times New Roman" w:hAnsi="Times New Roman" w:cs="Times New Roman"/>
              </w:rPr>
              <w:t>85.000</w:t>
            </w:r>
            <w:r w:rsidRPr="00875906">
              <w:rPr>
                <w:rFonts w:ascii="Times New Roman" w:hAnsi="Times New Roman" w:cs="Times New Roman"/>
              </w:rPr>
              <w:t>,00</w:t>
            </w:r>
          </w:p>
        </w:tc>
        <w:tc>
          <w:tcPr>
            <w:tcW w:w="1247" w:type="dxa"/>
            <w:tcBorders>
              <w:top w:val="single" w:sz="4" w:space="0" w:color="000000"/>
              <w:left w:val="single" w:sz="4" w:space="0" w:color="000000"/>
              <w:bottom w:val="single" w:sz="4" w:space="0" w:color="000000"/>
              <w:right w:val="single" w:sz="4" w:space="0" w:color="000000"/>
            </w:tcBorders>
            <w:vAlign w:val="center"/>
          </w:tcPr>
          <w:p w14:paraId="7187BC95" w14:textId="77777777" w:rsidR="000A3E83" w:rsidRPr="00875906" w:rsidRDefault="008C7E91">
            <w:pPr>
              <w:rPr>
                <w:rFonts w:ascii="Times New Roman" w:hAnsi="Times New Roman" w:cs="Times New Roman"/>
              </w:rPr>
            </w:pPr>
            <w:r w:rsidRPr="00875906">
              <w:rPr>
                <w:rFonts w:ascii="Times New Roman" w:hAnsi="Times New Roman" w:cs="Times New Roman"/>
              </w:rPr>
              <w:t>0,00</w:t>
            </w:r>
          </w:p>
        </w:tc>
        <w:tc>
          <w:tcPr>
            <w:tcW w:w="1247" w:type="dxa"/>
            <w:tcBorders>
              <w:top w:val="single" w:sz="4" w:space="0" w:color="000000"/>
              <w:left w:val="single" w:sz="4" w:space="0" w:color="000000"/>
              <w:bottom w:val="single" w:sz="4" w:space="0" w:color="000000"/>
              <w:right w:val="single" w:sz="4" w:space="0" w:color="000000"/>
            </w:tcBorders>
            <w:vAlign w:val="center"/>
          </w:tcPr>
          <w:p w14:paraId="7F5A8714" w14:textId="77777777" w:rsidR="000A3E83" w:rsidRPr="00875906" w:rsidRDefault="008C7E91">
            <w:pPr>
              <w:rPr>
                <w:rFonts w:ascii="Times New Roman" w:hAnsi="Times New Roman" w:cs="Times New Roman"/>
              </w:rPr>
            </w:pPr>
            <w:r w:rsidRPr="00875906">
              <w:rPr>
                <w:rFonts w:ascii="Times New Roman" w:hAnsi="Times New Roman" w:cs="Times New Roman"/>
              </w:rPr>
              <w:t>1</w:t>
            </w:r>
            <w:r w:rsidR="00267379">
              <w:rPr>
                <w:rFonts w:ascii="Times New Roman" w:hAnsi="Times New Roman" w:cs="Times New Roman"/>
              </w:rPr>
              <w:t>8</w:t>
            </w:r>
            <w:r w:rsidR="00165CB9">
              <w:rPr>
                <w:rFonts w:ascii="Times New Roman" w:hAnsi="Times New Roman" w:cs="Times New Roman"/>
              </w:rPr>
              <w:t>8</w:t>
            </w:r>
            <w:r w:rsidR="00267379">
              <w:rPr>
                <w:rFonts w:ascii="Times New Roman" w:hAnsi="Times New Roman" w:cs="Times New Roman"/>
              </w:rPr>
              <w:t>.0</w:t>
            </w:r>
            <w:r w:rsidRPr="00875906">
              <w:rPr>
                <w:rFonts w:ascii="Times New Roman" w:hAnsi="Times New Roman" w:cs="Times New Roman"/>
              </w:rPr>
              <w:t>00,00</w:t>
            </w:r>
          </w:p>
        </w:tc>
        <w:tc>
          <w:tcPr>
            <w:tcW w:w="1247" w:type="dxa"/>
            <w:tcBorders>
              <w:top w:val="single" w:sz="4" w:space="0" w:color="000000"/>
              <w:left w:val="single" w:sz="4" w:space="0" w:color="000000"/>
              <w:bottom w:val="single" w:sz="4" w:space="0" w:color="000000"/>
              <w:right w:val="single" w:sz="4" w:space="0" w:color="000000"/>
            </w:tcBorders>
            <w:vAlign w:val="center"/>
          </w:tcPr>
          <w:p w14:paraId="4EFCFA48" w14:textId="77777777" w:rsidR="000A3E83" w:rsidRPr="00875906" w:rsidRDefault="008C7E91">
            <w:pPr>
              <w:rPr>
                <w:rFonts w:ascii="Times New Roman" w:hAnsi="Times New Roman" w:cs="Times New Roman"/>
              </w:rPr>
            </w:pPr>
            <w:r w:rsidRPr="00875906">
              <w:rPr>
                <w:rFonts w:ascii="Times New Roman" w:hAnsi="Times New Roman" w:cs="Times New Roman"/>
              </w:rPr>
              <w:t>0,00</w:t>
            </w:r>
          </w:p>
        </w:tc>
        <w:tc>
          <w:tcPr>
            <w:tcW w:w="1247" w:type="dxa"/>
            <w:tcBorders>
              <w:top w:val="single" w:sz="4" w:space="0" w:color="000000"/>
              <w:left w:val="single" w:sz="4" w:space="0" w:color="000000"/>
              <w:bottom w:val="single" w:sz="4" w:space="0" w:color="000000"/>
              <w:right w:val="single" w:sz="4" w:space="0" w:color="000000"/>
            </w:tcBorders>
            <w:vAlign w:val="center"/>
          </w:tcPr>
          <w:p w14:paraId="5A1A8B46" w14:textId="77777777" w:rsidR="000A3E83" w:rsidRPr="00875906" w:rsidRDefault="008C7E91">
            <w:pPr>
              <w:rPr>
                <w:rFonts w:ascii="Times New Roman" w:hAnsi="Times New Roman" w:cs="Times New Roman"/>
              </w:rPr>
            </w:pPr>
            <w:r w:rsidRPr="00875906">
              <w:rPr>
                <w:rFonts w:ascii="Times New Roman" w:hAnsi="Times New Roman" w:cs="Times New Roman"/>
              </w:rPr>
              <w:t>1</w:t>
            </w:r>
            <w:r w:rsidR="00267379">
              <w:rPr>
                <w:rFonts w:ascii="Times New Roman" w:hAnsi="Times New Roman" w:cs="Times New Roman"/>
              </w:rPr>
              <w:t>90.0</w:t>
            </w:r>
            <w:r w:rsidRPr="00875906">
              <w:rPr>
                <w:rFonts w:ascii="Times New Roman" w:hAnsi="Times New Roman" w:cs="Times New Roman"/>
              </w:rPr>
              <w:t>00,00</w:t>
            </w:r>
          </w:p>
        </w:tc>
        <w:tc>
          <w:tcPr>
            <w:tcW w:w="1247" w:type="dxa"/>
            <w:tcBorders>
              <w:top w:val="single" w:sz="4" w:space="0" w:color="000000"/>
              <w:left w:val="single" w:sz="4" w:space="0" w:color="000000"/>
              <w:bottom w:val="single" w:sz="4" w:space="0" w:color="000000"/>
              <w:right w:val="single" w:sz="4" w:space="0" w:color="000000"/>
            </w:tcBorders>
            <w:vAlign w:val="center"/>
          </w:tcPr>
          <w:p w14:paraId="475DE494" w14:textId="77777777" w:rsidR="000A3E83" w:rsidRPr="00875906" w:rsidRDefault="008C7E91">
            <w:pPr>
              <w:rPr>
                <w:rFonts w:ascii="Times New Roman" w:hAnsi="Times New Roman" w:cs="Times New Roman"/>
              </w:rPr>
            </w:pPr>
            <w:r w:rsidRPr="00875906">
              <w:rPr>
                <w:rFonts w:ascii="Times New Roman" w:hAnsi="Times New Roman" w:cs="Times New Roman"/>
              </w:rPr>
              <w:t>0,00</w:t>
            </w:r>
          </w:p>
        </w:tc>
      </w:tr>
    </w:tbl>
    <w:p w14:paraId="22B6BB2B" w14:textId="77777777" w:rsidR="000A3E83" w:rsidRPr="00875906" w:rsidRDefault="000A3E83">
      <w:pPr>
        <w:rPr>
          <w:rFonts w:ascii="Times New Roman" w:hAnsi="Times New Roman" w:cs="Times New Roman"/>
        </w:rPr>
      </w:pPr>
    </w:p>
    <w:p w14:paraId="573729A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Kod izrade, predlaganja i donošenja proračuna i financijskih planova u proračunskom procesu za razdoblje 2027.-2029. godine potrebno je pridržavati se sljedećeg:</w:t>
      </w:r>
    </w:p>
    <w:p w14:paraId="7A46AF81" w14:textId="77777777" w:rsidR="000A3E83" w:rsidRPr="00875906" w:rsidRDefault="008C7E91">
      <w:pPr>
        <w:jc w:val="both"/>
        <w:rPr>
          <w:rFonts w:ascii="Times New Roman" w:hAnsi="Times New Roman" w:cs="Times New Roman"/>
        </w:rPr>
      </w:pPr>
      <w:r w:rsidRPr="00875906">
        <w:rPr>
          <w:rFonts w:ascii="Times New Roman" w:hAnsi="Times New Roman" w:cs="Times New Roman"/>
        </w:rPr>
        <w:lastRenderedPageBreak/>
        <w:t>•</w:t>
      </w:r>
      <w:r w:rsidRPr="00875906">
        <w:rPr>
          <w:rFonts w:ascii="Times New Roman" w:hAnsi="Times New Roman" w:cs="Times New Roman"/>
        </w:rPr>
        <w:tab/>
        <w:t>Proračun i financijski planovi za 2027. godinu i projekcije za 2028. i 2029. godinu donose se na razini skupine ekonomske klasifikacije. Za potrebe detaljnog planiranja i unosa u računovodstvenu aplikaciju proračunski korisnik izrađuje prijedlog financijskog plana na razini odjeljka, dok Upravno vijeće usvaja prijedlog financijskog plana na razini skupine ekonomske klasifikacije, sukladno članku 38. Zakona o proračunu.</w:t>
      </w:r>
    </w:p>
    <w:p w14:paraId="04C7EA05" w14:textId="77777777" w:rsidR="000A3E83" w:rsidRPr="00875906" w:rsidRDefault="008C7E91">
      <w:pPr>
        <w:pStyle w:val="Naslov1"/>
        <w:numPr>
          <w:ilvl w:val="0"/>
          <w:numId w:val="13"/>
        </w:numPr>
        <w:rPr>
          <w:rFonts w:ascii="Times New Roman" w:hAnsi="Times New Roman"/>
          <w:sz w:val="22"/>
          <w:szCs w:val="22"/>
        </w:rPr>
      </w:pPr>
      <w:bookmarkStart w:id="5" w:name="_Toc244201163"/>
      <w:r w:rsidRPr="00875906">
        <w:rPr>
          <w:rFonts w:ascii="Times New Roman" w:hAnsi="Times New Roman"/>
          <w:sz w:val="22"/>
          <w:szCs w:val="22"/>
        </w:rPr>
        <w:t>NAČIN IZRADE PRIJEDLOGA PRORAČUNA / FINANCIJSKIH PLANOVA PRORAČUNSKIH KORISNIKA OPĆINE KAMANJE</w:t>
      </w:r>
      <w:bookmarkEnd w:id="5"/>
      <w:r w:rsidRPr="00875906">
        <w:rPr>
          <w:rFonts w:ascii="Times New Roman" w:hAnsi="Times New Roman"/>
          <w:sz w:val="22"/>
          <w:szCs w:val="22"/>
        </w:rPr>
        <w:t xml:space="preserve"> </w:t>
      </w:r>
    </w:p>
    <w:p w14:paraId="04696290" w14:textId="77777777" w:rsidR="000A3E83" w:rsidRPr="00875906" w:rsidRDefault="000A3E83">
      <w:pPr>
        <w:jc w:val="both"/>
        <w:rPr>
          <w:rFonts w:ascii="Times New Roman" w:hAnsi="Times New Roman" w:cs="Times New Roman"/>
        </w:rPr>
      </w:pPr>
    </w:p>
    <w:p w14:paraId="59F6F040"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Proračunski korisnik Općine Kamanje obvezan je izraditi prijedlog financijskog plana u skladu sa Zakonom o proračunu, Pravilnikom o planiranju u sustavu proračuna, Pravilnikom o proračunskim klasifikacijama, Pravilnikom o proračunskom računovodstvu i Računskom planu, Uputama Ministarstva financija za razdoblje 2027. - 2029. i ovim Uputama.</w:t>
      </w:r>
    </w:p>
    <w:p w14:paraId="716B9B18"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Proračun Općine Kamanje sastoji se od plana za proračunsku godinu i projekcija za sljedeće dvije godine, a sadrži financijske planove proračunskih korisnika prikazane kroz opći i posebni dio i obrazloženje proračuna.</w:t>
      </w:r>
    </w:p>
    <w:p w14:paraId="4829CB60"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Uz Upute upravna tijela obvezna su svojim proračunskim korisnicima dodijeliti limite, odnosno maksimalne iznose sredstava iz općinskog proračuna namijenjene financiranju programa proračunskog korisnika.</w:t>
      </w:r>
    </w:p>
    <w:p w14:paraId="066BEBD5"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Proračunski korisnik izrađuje prijedlog financijskog plana na razini odjeljka (četvrta razina računskog plana), dok Upravno vijeće, sukladno članku 38. stavcima 2. i 3. Zakona o proračunu, prije dostave Općini Kamanje usvaja prijedlog financijskog plana koji sadrži plan za 2027. godinu i projekcije za 2028. i 2029. godinu na razini skupine ekonomske klasifikacije (druga razina računskog plana).</w:t>
      </w:r>
    </w:p>
    <w:p w14:paraId="75430891" w14:textId="77777777" w:rsidR="000A3E83" w:rsidRPr="00875906" w:rsidRDefault="008C7E91">
      <w:pPr>
        <w:pStyle w:val="Naslov2"/>
        <w:rPr>
          <w:rFonts w:ascii="Times New Roman" w:hAnsi="Times New Roman"/>
          <w:sz w:val="22"/>
          <w:szCs w:val="22"/>
        </w:rPr>
      </w:pPr>
      <w:bookmarkStart w:id="6" w:name="_Toc244201164"/>
      <w:r w:rsidRPr="00875906">
        <w:rPr>
          <w:rStyle w:val="Naslov2Char"/>
          <w:rFonts w:ascii="Times New Roman" w:eastAsia="Calibri" w:hAnsi="Times New Roman"/>
          <w:sz w:val="22"/>
          <w:szCs w:val="22"/>
        </w:rPr>
        <w:t>5.1.  Sadržaj proračuna Općine Kamanje 2027.-2029.</w:t>
      </w:r>
      <w:bookmarkEnd w:id="6"/>
      <w:r w:rsidRPr="00875906">
        <w:rPr>
          <w:rStyle w:val="Naslov2Char"/>
          <w:rFonts w:ascii="Times New Roman" w:eastAsia="Calibri" w:hAnsi="Times New Roman"/>
          <w:sz w:val="22"/>
          <w:szCs w:val="22"/>
        </w:rPr>
        <w:t xml:space="preserve"> </w:t>
      </w:r>
    </w:p>
    <w:p w14:paraId="27AC99B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 Općine Kamanje za 2027.-2029.g. sastoji se od plana za proračunsku godinu i projekcija za sljedeće dvije godine.</w:t>
      </w:r>
    </w:p>
    <w:p w14:paraId="2392B344" w14:textId="77777777" w:rsidR="000A3E83" w:rsidRPr="00875906" w:rsidRDefault="000A3E83">
      <w:pPr>
        <w:jc w:val="both"/>
        <w:rPr>
          <w:rFonts w:ascii="Times New Roman" w:hAnsi="Times New Roman" w:cs="Times New Roman"/>
        </w:rPr>
      </w:pPr>
    </w:p>
    <w:p w14:paraId="4DF3F5BE"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Detaljni prikaz sadržaja proračuna dan je u Tablici.</w:t>
      </w:r>
    </w:p>
    <w:p w14:paraId="23276326" w14:textId="77777777" w:rsidR="000A3E83" w:rsidRPr="00875906" w:rsidRDefault="000A3E83">
      <w:pPr>
        <w:jc w:val="both"/>
        <w:rPr>
          <w:rFonts w:ascii="Times New Roman" w:hAnsi="Times New Roman" w:cs="Times New Roman"/>
        </w:rPr>
      </w:pPr>
    </w:p>
    <w:p w14:paraId="39137C93" w14:textId="77777777" w:rsidR="000A3E83" w:rsidRPr="00875906" w:rsidRDefault="000A3E83">
      <w:pPr>
        <w:jc w:val="both"/>
        <w:rPr>
          <w:rFonts w:ascii="Times New Roman" w:hAnsi="Times New Roman" w:cs="Times New Roman"/>
        </w:rPr>
      </w:pPr>
    </w:p>
    <w:p w14:paraId="3B9EF017"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Tablica - Proračun Općine Kamanje za razdoblje 2027. – 2029.</w:t>
      </w:r>
    </w:p>
    <w:tbl>
      <w:tblPr>
        <w:tblW w:w="9747" w:type="dxa"/>
        <w:tblLayout w:type="fixed"/>
        <w:tblLook w:val="04A0" w:firstRow="1" w:lastRow="0" w:firstColumn="1" w:lastColumn="0" w:noHBand="0" w:noVBand="1"/>
      </w:tblPr>
      <w:tblGrid>
        <w:gridCol w:w="2235"/>
        <w:gridCol w:w="2409"/>
        <w:gridCol w:w="5103"/>
      </w:tblGrid>
      <w:tr w:rsidR="000A3E83" w:rsidRPr="00875906" w14:paraId="10795067" w14:textId="77777777">
        <w:tc>
          <w:tcPr>
            <w:tcW w:w="9747" w:type="dxa"/>
            <w:gridSpan w:val="3"/>
            <w:tcBorders>
              <w:top w:val="single" w:sz="4" w:space="0" w:color="000000"/>
              <w:left w:val="single" w:sz="4" w:space="0" w:color="000000"/>
              <w:bottom w:val="single" w:sz="4" w:space="0" w:color="000000"/>
              <w:right w:val="single" w:sz="4" w:space="0" w:color="000000"/>
            </w:tcBorders>
            <w:shd w:val="clear" w:color="auto" w:fill="D9E2F3"/>
          </w:tcPr>
          <w:p w14:paraId="5B6D7048" w14:textId="77777777" w:rsidR="000A3E83" w:rsidRPr="00875906" w:rsidRDefault="008C7E91">
            <w:pPr>
              <w:rPr>
                <w:rFonts w:ascii="Times New Roman" w:hAnsi="Times New Roman" w:cs="Times New Roman"/>
              </w:rPr>
            </w:pPr>
            <w:r w:rsidRPr="00875906">
              <w:rPr>
                <w:rFonts w:ascii="Times New Roman" w:hAnsi="Times New Roman" w:cs="Times New Roman"/>
              </w:rPr>
              <w:t>PRORAČUN OPĆINE KAMANJE ZA RAZDOBLJE 2027.-2029.</w:t>
            </w:r>
          </w:p>
        </w:tc>
      </w:tr>
      <w:tr w:rsidR="000A3E83" w:rsidRPr="00875906" w14:paraId="0D65192C" w14:textId="77777777">
        <w:tc>
          <w:tcPr>
            <w:tcW w:w="2235" w:type="dxa"/>
            <w:tcBorders>
              <w:top w:val="single" w:sz="4" w:space="0" w:color="000000"/>
              <w:left w:val="single" w:sz="4" w:space="0" w:color="000000"/>
              <w:bottom w:val="single" w:sz="4" w:space="0" w:color="000000"/>
              <w:right w:val="single" w:sz="4" w:space="0" w:color="000000"/>
            </w:tcBorders>
          </w:tcPr>
          <w:p w14:paraId="190E3585"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SADRŽAJ</w:t>
            </w:r>
          </w:p>
        </w:tc>
        <w:tc>
          <w:tcPr>
            <w:tcW w:w="2409" w:type="dxa"/>
            <w:tcBorders>
              <w:top w:val="single" w:sz="4" w:space="0" w:color="000000"/>
              <w:left w:val="single" w:sz="4" w:space="0" w:color="000000"/>
              <w:bottom w:val="single" w:sz="4" w:space="0" w:color="000000"/>
              <w:right w:val="single" w:sz="4" w:space="0" w:color="000000"/>
            </w:tcBorders>
          </w:tcPr>
          <w:p w14:paraId="5127E856"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SASTAVNI DIO</w:t>
            </w:r>
          </w:p>
        </w:tc>
        <w:tc>
          <w:tcPr>
            <w:tcW w:w="5103" w:type="dxa"/>
            <w:tcBorders>
              <w:top w:val="single" w:sz="4" w:space="0" w:color="000000"/>
              <w:left w:val="single" w:sz="4" w:space="0" w:color="000000"/>
              <w:bottom w:val="single" w:sz="4" w:space="0" w:color="000000"/>
              <w:right w:val="single" w:sz="4" w:space="0" w:color="000000"/>
            </w:tcBorders>
          </w:tcPr>
          <w:p w14:paraId="03090DDA" w14:textId="77777777" w:rsidR="000A3E83" w:rsidRPr="00875906" w:rsidRDefault="008C7E91">
            <w:pPr>
              <w:jc w:val="center"/>
              <w:rPr>
                <w:rFonts w:ascii="Times New Roman" w:hAnsi="Times New Roman" w:cs="Times New Roman"/>
                <w:b/>
                <w:bCs/>
              </w:rPr>
            </w:pPr>
            <w:r w:rsidRPr="00875906">
              <w:rPr>
                <w:rFonts w:ascii="Times New Roman" w:hAnsi="Times New Roman" w:cs="Times New Roman"/>
                <w:b/>
                <w:bCs/>
              </w:rPr>
              <w:t>OPIS SASTAVNOG DIJELA</w:t>
            </w:r>
          </w:p>
        </w:tc>
      </w:tr>
      <w:tr w:rsidR="000A3E83" w:rsidRPr="00875906" w14:paraId="1306C237" w14:textId="77777777">
        <w:tc>
          <w:tcPr>
            <w:tcW w:w="2235" w:type="dxa"/>
            <w:vMerge w:val="restart"/>
            <w:tcBorders>
              <w:top w:val="single" w:sz="4" w:space="0" w:color="000000"/>
              <w:left w:val="single" w:sz="4" w:space="0" w:color="000000"/>
              <w:bottom w:val="single" w:sz="4" w:space="0" w:color="000000"/>
              <w:right w:val="single" w:sz="4" w:space="0" w:color="000000"/>
            </w:tcBorders>
          </w:tcPr>
          <w:p w14:paraId="7A837092" w14:textId="77777777" w:rsidR="000A3E83" w:rsidRPr="00875906" w:rsidRDefault="000A3E83">
            <w:pPr>
              <w:snapToGrid w:val="0"/>
              <w:jc w:val="both"/>
              <w:rPr>
                <w:rFonts w:ascii="Times New Roman" w:hAnsi="Times New Roman" w:cs="Times New Roman"/>
                <w:b/>
                <w:bCs/>
              </w:rPr>
            </w:pPr>
          </w:p>
          <w:p w14:paraId="1F827BBD" w14:textId="77777777" w:rsidR="000A3E83" w:rsidRPr="00875906" w:rsidRDefault="000A3E83">
            <w:pPr>
              <w:jc w:val="both"/>
              <w:rPr>
                <w:rFonts w:ascii="Times New Roman" w:hAnsi="Times New Roman" w:cs="Times New Roman"/>
              </w:rPr>
            </w:pPr>
          </w:p>
          <w:p w14:paraId="6BD1CE4F" w14:textId="77777777" w:rsidR="000A3E83" w:rsidRPr="00875906" w:rsidRDefault="000A3E83">
            <w:pPr>
              <w:jc w:val="both"/>
              <w:rPr>
                <w:rFonts w:ascii="Times New Roman" w:hAnsi="Times New Roman" w:cs="Times New Roman"/>
              </w:rPr>
            </w:pPr>
          </w:p>
          <w:p w14:paraId="6AE4A5EE" w14:textId="77777777" w:rsidR="000A3E83" w:rsidRPr="00875906" w:rsidRDefault="000A3E83">
            <w:pPr>
              <w:jc w:val="both"/>
              <w:rPr>
                <w:rFonts w:ascii="Times New Roman" w:hAnsi="Times New Roman" w:cs="Times New Roman"/>
              </w:rPr>
            </w:pPr>
          </w:p>
          <w:p w14:paraId="60BE97C4" w14:textId="77777777" w:rsidR="000A3E83" w:rsidRPr="00875906" w:rsidRDefault="000A3E83">
            <w:pPr>
              <w:jc w:val="both"/>
              <w:rPr>
                <w:rFonts w:ascii="Times New Roman" w:hAnsi="Times New Roman" w:cs="Times New Roman"/>
              </w:rPr>
            </w:pPr>
          </w:p>
          <w:p w14:paraId="0AD1213C" w14:textId="77777777" w:rsidR="000A3E83" w:rsidRPr="00875906" w:rsidRDefault="000A3E83">
            <w:pPr>
              <w:jc w:val="both"/>
              <w:rPr>
                <w:rFonts w:ascii="Times New Roman" w:hAnsi="Times New Roman" w:cs="Times New Roman"/>
              </w:rPr>
            </w:pPr>
          </w:p>
          <w:p w14:paraId="13F4A4E9" w14:textId="77777777" w:rsidR="000A3E83" w:rsidRPr="00875906" w:rsidRDefault="000A3E83">
            <w:pPr>
              <w:jc w:val="both"/>
              <w:rPr>
                <w:rFonts w:ascii="Times New Roman" w:hAnsi="Times New Roman" w:cs="Times New Roman"/>
              </w:rPr>
            </w:pPr>
          </w:p>
          <w:p w14:paraId="2B673545" w14:textId="77777777" w:rsidR="000A3E83" w:rsidRPr="00875906" w:rsidRDefault="000A3E83">
            <w:pPr>
              <w:jc w:val="both"/>
              <w:rPr>
                <w:rFonts w:ascii="Times New Roman" w:hAnsi="Times New Roman" w:cs="Times New Roman"/>
              </w:rPr>
            </w:pPr>
          </w:p>
          <w:p w14:paraId="31735B81" w14:textId="77777777" w:rsidR="000A3E83" w:rsidRPr="00875906" w:rsidRDefault="000A3E83">
            <w:pPr>
              <w:jc w:val="both"/>
              <w:rPr>
                <w:rFonts w:ascii="Times New Roman" w:hAnsi="Times New Roman" w:cs="Times New Roman"/>
              </w:rPr>
            </w:pPr>
          </w:p>
          <w:p w14:paraId="318A299F" w14:textId="77777777" w:rsidR="000A3E83" w:rsidRPr="00875906" w:rsidRDefault="000A3E83">
            <w:pPr>
              <w:jc w:val="both"/>
              <w:rPr>
                <w:rFonts w:ascii="Times New Roman" w:hAnsi="Times New Roman" w:cs="Times New Roman"/>
              </w:rPr>
            </w:pPr>
          </w:p>
          <w:p w14:paraId="1C6B96B9" w14:textId="77777777" w:rsidR="000A3E83" w:rsidRPr="00875906" w:rsidRDefault="000A3E83">
            <w:pPr>
              <w:jc w:val="both"/>
              <w:rPr>
                <w:rFonts w:ascii="Times New Roman" w:hAnsi="Times New Roman" w:cs="Times New Roman"/>
              </w:rPr>
            </w:pPr>
          </w:p>
          <w:p w14:paraId="66820881" w14:textId="77777777" w:rsidR="000A3E83" w:rsidRPr="00875906" w:rsidRDefault="000A3E83">
            <w:pPr>
              <w:jc w:val="both"/>
              <w:rPr>
                <w:rFonts w:ascii="Times New Roman" w:hAnsi="Times New Roman" w:cs="Times New Roman"/>
              </w:rPr>
            </w:pPr>
          </w:p>
          <w:p w14:paraId="258D19C7" w14:textId="77777777" w:rsidR="000A3E83" w:rsidRPr="00875906" w:rsidRDefault="000A3E83">
            <w:pPr>
              <w:jc w:val="both"/>
              <w:rPr>
                <w:rFonts w:ascii="Times New Roman" w:hAnsi="Times New Roman" w:cs="Times New Roman"/>
              </w:rPr>
            </w:pPr>
          </w:p>
          <w:p w14:paraId="3122A3C3" w14:textId="77777777" w:rsidR="000A3E83" w:rsidRPr="00875906" w:rsidRDefault="000A3E83">
            <w:pPr>
              <w:jc w:val="both"/>
              <w:rPr>
                <w:rFonts w:ascii="Times New Roman" w:hAnsi="Times New Roman" w:cs="Times New Roman"/>
              </w:rPr>
            </w:pPr>
          </w:p>
          <w:p w14:paraId="18F139B9" w14:textId="77777777" w:rsidR="000A3E83" w:rsidRPr="00875906" w:rsidRDefault="000A3E83">
            <w:pPr>
              <w:jc w:val="both"/>
              <w:rPr>
                <w:rFonts w:ascii="Times New Roman" w:hAnsi="Times New Roman" w:cs="Times New Roman"/>
              </w:rPr>
            </w:pPr>
          </w:p>
          <w:p w14:paraId="7940256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Opći dio proračuna</w:t>
            </w:r>
          </w:p>
        </w:tc>
        <w:tc>
          <w:tcPr>
            <w:tcW w:w="2409" w:type="dxa"/>
            <w:tcBorders>
              <w:top w:val="single" w:sz="4" w:space="0" w:color="000000"/>
              <w:left w:val="single" w:sz="4" w:space="0" w:color="000000"/>
              <w:bottom w:val="single" w:sz="4" w:space="0" w:color="000000"/>
              <w:right w:val="single" w:sz="4" w:space="0" w:color="000000"/>
            </w:tcBorders>
          </w:tcPr>
          <w:p w14:paraId="2CE8C1C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Sažetak Računa prihoda i rashoda</w:t>
            </w:r>
          </w:p>
          <w:p w14:paraId="785EE0CE"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Sažetak Računa financiranja</w:t>
            </w:r>
          </w:p>
        </w:tc>
        <w:tc>
          <w:tcPr>
            <w:tcW w:w="5103" w:type="dxa"/>
            <w:tcBorders>
              <w:top w:val="single" w:sz="4" w:space="0" w:color="000000"/>
              <w:left w:val="single" w:sz="4" w:space="0" w:color="000000"/>
              <w:bottom w:val="single" w:sz="4" w:space="0" w:color="000000"/>
              <w:right w:val="single" w:sz="4" w:space="0" w:color="000000"/>
            </w:tcBorders>
          </w:tcPr>
          <w:p w14:paraId="6AE34627"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ukupni prihodi poslovanja i prihodi od prodaje nefinancijske imovine, ukupni rashodi</w:t>
            </w:r>
          </w:p>
          <w:p w14:paraId="2C07482C"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poslovanja i rashodi za nabavu nefinancijske imovine,</w:t>
            </w:r>
          </w:p>
          <w:p w14:paraId="2E68792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2.ukupni primici od financijske imovine i zaduživanja i izdaci za financijsku imovinu i</w:t>
            </w:r>
          </w:p>
          <w:p w14:paraId="78FCBDB5"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otplate zajmova</w:t>
            </w:r>
          </w:p>
        </w:tc>
      </w:tr>
      <w:tr w:rsidR="000A3E83" w:rsidRPr="00875906" w14:paraId="31276D2E" w14:textId="77777777">
        <w:tc>
          <w:tcPr>
            <w:tcW w:w="2235" w:type="dxa"/>
            <w:vMerge/>
            <w:tcBorders>
              <w:top w:val="single" w:sz="4" w:space="0" w:color="000000"/>
              <w:left w:val="single" w:sz="4" w:space="0" w:color="000000"/>
              <w:bottom w:val="single" w:sz="4" w:space="0" w:color="000000"/>
              <w:right w:val="single" w:sz="4" w:space="0" w:color="000000"/>
            </w:tcBorders>
          </w:tcPr>
          <w:p w14:paraId="05557C65" w14:textId="77777777" w:rsidR="000A3E83" w:rsidRPr="00875906" w:rsidRDefault="000A3E83">
            <w:pPr>
              <w:snapToGrid w:val="0"/>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tcPr>
          <w:p w14:paraId="3B91DBF3"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Račun prihoda i rashoda</w:t>
            </w:r>
          </w:p>
        </w:tc>
        <w:tc>
          <w:tcPr>
            <w:tcW w:w="5103" w:type="dxa"/>
            <w:tcBorders>
              <w:top w:val="single" w:sz="4" w:space="0" w:color="000000"/>
              <w:left w:val="single" w:sz="4" w:space="0" w:color="000000"/>
              <w:bottom w:val="single" w:sz="4" w:space="0" w:color="000000"/>
              <w:right w:val="single" w:sz="4" w:space="0" w:color="000000"/>
            </w:tcBorders>
          </w:tcPr>
          <w:p w14:paraId="65AFC80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ukupni prihodi i rashodi iskazani prema izvorima financiranja i ekonomskoj</w:t>
            </w:r>
          </w:p>
          <w:p w14:paraId="23998AB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klasifikaciji na razini skupine</w:t>
            </w:r>
          </w:p>
          <w:p w14:paraId="546B3D9C"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2. ukupni rashodi iskazani prema funkcijskoj klasifikaciji</w:t>
            </w:r>
          </w:p>
        </w:tc>
      </w:tr>
      <w:tr w:rsidR="000A3E83" w:rsidRPr="00875906" w14:paraId="160A040B" w14:textId="77777777">
        <w:tc>
          <w:tcPr>
            <w:tcW w:w="2235" w:type="dxa"/>
            <w:vMerge/>
            <w:tcBorders>
              <w:top w:val="single" w:sz="4" w:space="0" w:color="000000"/>
              <w:left w:val="single" w:sz="4" w:space="0" w:color="000000"/>
              <w:bottom w:val="single" w:sz="4" w:space="0" w:color="000000"/>
              <w:right w:val="single" w:sz="4" w:space="0" w:color="000000"/>
            </w:tcBorders>
          </w:tcPr>
          <w:p w14:paraId="50943994" w14:textId="77777777" w:rsidR="000A3E83" w:rsidRPr="00875906" w:rsidRDefault="000A3E83">
            <w:pPr>
              <w:snapToGrid w:val="0"/>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tcPr>
          <w:p w14:paraId="6171C1A0"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Račun financiranja</w:t>
            </w:r>
          </w:p>
        </w:tc>
        <w:tc>
          <w:tcPr>
            <w:tcW w:w="5103" w:type="dxa"/>
            <w:tcBorders>
              <w:top w:val="single" w:sz="4" w:space="0" w:color="000000"/>
              <w:left w:val="single" w:sz="4" w:space="0" w:color="000000"/>
              <w:bottom w:val="single" w:sz="4" w:space="0" w:color="000000"/>
              <w:right w:val="single" w:sz="4" w:space="0" w:color="000000"/>
            </w:tcBorders>
          </w:tcPr>
          <w:p w14:paraId="641DEF50"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ukupni primici od financijske imovine i zaduživanja i izdaci za financijsku imovinu i</w:t>
            </w:r>
          </w:p>
          <w:p w14:paraId="6B72C83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otplate instrumenata zaduživanja prema izvorima financiranja i ekonomskoj klasifikaciji</w:t>
            </w:r>
          </w:p>
          <w:p w14:paraId="2D790037"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na razini skupine</w:t>
            </w:r>
          </w:p>
        </w:tc>
      </w:tr>
      <w:tr w:rsidR="000A3E83" w:rsidRPr="00875906" w14:paraId="07793B1F" w14:textId="77777777">
        <w:trPr>
          <w:trHeight w:val="845"/>
        </w:trPr>
        <w:tc>
          <w:tcPr>
            <w:tcW w:w="2235" w:type="dxa"/>
            <w:vMerge/>
            <w:tcBorders>
              <w:top w:val="single" w:sz="4" w:space="0" w:color="000000"/>
              <w:left w:val="single" w:sz="4" w:space="0" w:color="000000"/>
              <w:bottom w:val="single" w:sz="4" w:space="0" w:color="000000"/>
              <w:right w:val="single" w:sz="4" w:space="0" w:color="000000"/>
            </w:tcBorders>
          </w:tcPr>
          <w:p w14:paraId="1949C71B" w14:textId="77777777" w:rsidR="000A3E83" w:rsidRPr="00875906" w:rsidRDefault="000A3E83">
            <w:pPr>
              <w:snapToGrid w:val="0"/>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tcPr>
          <w:p w14:paraId="3E68179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Preneseni manjak ili višak prihoda nad rashodima</w:t>
            </w:r>
          </w:p>
        </w:tc>
        <w:tc>
          <w:tcPr>
            <w:tcW w:w="5103" w:type="dxa"/>
            <w:tcBorders>
              <w:top w:val="single" w:sz="4" w:space="0" w:color="000000"/>
              <w:left w:val="single" w:sz="4" w:space="0" w:color="000000"/>
              <w:bottom w:val="single" w:sz="4" w:space="0" w:color="000000"/>
              <w:right w:val="single" w:sz="4" w:space="0" w:color="000000"/>
            </w:tcBorders>
          </w:tcPr>
          <w:p w14:paraId="3A5F0D2C"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ako ukupni prihodi i primici nisu jednaki ukupnim rashodima i izdacima, opći dio</w:t>
            </w:r>
          </w:p>
          <w:p w14:paraId="6B8925BA"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 xml:space="preserve">proračuna sadrži i preneseni višak ili preneseni manjak </w:t>
            </w:r>
            <w:r w:rsidRPr="00875906">
              <w:rPr>
                <w:rFonts w:ascii="Times New Roman" w:hAnsi="Times New Roman" w:cs="Times New Roman"/>
              </w:rPr>
              <w:lastRenderedPageBreak/>
              <w:t>prihoda nad rashodima</w:t>
            </w:r>
          </w:p>
        </w:tc>
      </w:tr>
      <w:tr w:rsidR="000A3E83" w:rsidRPr="00875906" w14:paraId="1B617C3A" w14:textId="77777777">
        <w:tc>
          <w:tcPr>
            <w:tcW w:w="2235" w:type="dxa"/>
            <w:vMerge/>
            <w:tcBorders>
              <w:top w:val="single" w:sz="4" w:space="0" w:color="000000"/>
              <w:left w:val="single" w:sz="4" w:space="0" w:color="000000"/>
              <w:bottom w:val="single" w:sz="4" w:space="0" w:color="000000"/>
              <w:right w:val="single" w:sz="4" w:space="0" w:color="000000"/>
            </w:tcBorders>
          </w:tcPr>
          <w:p w14:paraId="50DDD320" w14:textId="77777777" w:rsidR="000A3E83" w:rsidRPr="00875906" w:rsidRDefault="000A3E83">
            <w:pPr>
              <w:snapToGrid w:val="0"/>
              <w:jc w:val="both"/>
              <w:rPr>
                <w:rFonts w:ascii="Times New Roman" w:hAnsi="Times New Roman" w:cs="Times New Roman"/>
              </w:rPr>
            </w:pPr>
          </w:p>
        </w:tc>
        <w:tc>
          <w:tcPr>
            <w:tcW w:w="2409" w:type="dxa"/>
            <w:tcBorders>
              <w:top w:val="single" w:sz="4" w:space="0" w:color="000000"/>
              <w:left w:val="single" w:sz="4" w:space="0" w:color="000000"/>
              <w:bottom w:val="single" w:sz="4" w:space="0" w:color="000000"/>
              <w:right w:val="single" w:sz="4" w:space="0" w:color="000000"/>
            </w:tcBorders>
          </w:tcPr>
          <w:p w14:paraId="68F95BAC"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Višegodišnji plan</w:t>
            </w:r>
          </w:p>
          <w:p w14:paraId="413EC8A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uravnoteženja</w:t>
            </w:r>
          </w:p>
        </w:tc>
        <w:tc>
          <w:tcPr>
            <w:tcW w:w="5103" w:type="dxa"/>
            <w:tcBorders>
              <w:top w:val="single" w:sz="4" w:space="0" w:color="000000"/>
              <w:left w:val="single" w:sz="4" w:space="0" w:color="000000"/>
              <w:bottom w:val="single" w:sz="4" w:space="0" w:color="000000"/>
              <w:right w:val="single" w:sz="4" w:space="0" w:color="000000"/>
            </w:tcBorders>
          </w:tcPr>
          <w:p w14:paraId="20A4691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1.ako JLP(R)S ne mogu preneseni manjak podmiriti do kraja proračunske godine,</w:t>
            </w:r>
          </w:p>
          <w:p w14:paraId="5E614B16"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obvezni su izraditi višegodišnji plan uravnoteženja za razdoblje za koje se proračun</w:t>
            </w:r>
          </w:p>
          <w:p w14:paraId="558A64C1"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donosi</w:t>
            </w:r>
          </w:p>
          <w:p w14:paraId="3948312E"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2. ako JLP(R)S ne mogu preneseni višak, zbog njegove veličine, u cijelosti iskoristiti u</w:t>
            </w:r>
          </w:p>
          <w:p w14:paraId="21938F39"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jednoj proračunskoj godini, korištenje viška planira se višegodišnjim planom</w:t>
            </w:r>
          </w:p>
          <w:p w14:paraId="34EA4B8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uravnoteženja za razdoblje za koje se proračun donosi</w:t>
            </w:r>
          </w:p>
        </w:tc>
      </w:tr>
      <w:tr w:rsidR="000A3E83" w:rsidRPr="00875906" w14:paraId="4A617C32" w14:textId="77777777">
        <w:tc>
          <w:tcPr>
            <w:tcW w:w="2235" w:type="dxa"/>
            <w:tcBorders>
              <w:top w:val="single" w:sz="4" w:space="0" w:color="000000"/>
              <w:left w:val="single" w:sz="4" w:space="0" w:color="000000"/>
              <w:bottom w:val="single" w:sz="4" w:space="0" w:color="000000"/>
              <w:right w:val="single" w:sz="4" w:space="0" w:color="000000"/>
            </w:tcBorders>
          </w:tcPr>
          <w:p w14:paraId="05E7774B"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Posebni dio proračuna</w:t>
            </w:r>
          </w:p>
        </w:tc>
        <w:tc>
          <w:tcPr>
            <w:tcW w:w="2409" w:type="dxa"/>
            <w:tcBorders>
              <w:top w:val="single" w:sz="4" w:space="0" w:color="000000"/>
              <w:left w:val="single" w:sz="4" w:space="0" w:color="000000"/>
              <w:bottom w:val="single" w:sz="4" w:space="0" w:color="000000"/>
              <w:right w:val="single" w:sz="4" w:space="0" w:color="000000"/>
            </w:tcBorders>
          </w:tcPr>
          <w:p w14:paraId="1BD830E5"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Plan rashoda i izdataka</w:t>
            </w:r>
          </w:p>
          <w:p w14:paraId="4FD880F4"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proračuna JLP(R)S i njihovih</w:t>
            </w:r>
          </w:p>
          <w:p w14:paraId="3FD80095"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proračunskih korisnika</w:t>
            </w:r>
          </w:p>
        </w:tc>
        <w:tc>
          <w:tcPr>
            <w:tcW w:w="5103" w:type="dxa"/>
            <w:tcBorders>
              <w:top w:val="single" w:sz="4" w:space="0" w:color="000000"/>
              <w:left w:val="single" w:sz="4" w:space="0" w:color="000000"/>
              <w:bottom w:val="single" w:sz="4" w:space="0" w:color="000000"/>
              <w:right w:val="single" w:sz="4" w:space="0" w:color="000000"/>
            </w:tcBorders>
          </w:tcPr>
          <w:p w14:paraId="5C9B3C34"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rashodi i izdaci JLP(R)S i njihovih proračunskih korisnika iskazani po organizacijskoj klasifikaciji, izvorima financiranja i ekonomskoj klasifikaciji na razini skupine, raspoređenih u programe koji se sastoje od aktivnosti i projekata</w:t>
            </w:r>
          </w:p>
        </w:tc>
      </w:tr>
      <w:tr w:rsidR="000A3E83" w:rsidRPr="00875906" w14:paraId="3279E769" w14:textId="77777777">
        <w:tc>
          <w:tcPr>
            <w:tcW w:w="2235" w:type="dxa"/>
            <w:tcBorders>
              <w:top w:val="single" w:sz="4" w:space="0" w:color="000000"/>
              <w:left w:val="single" w:sz="4" w:space="0" w:color="000000"/>
              <w:bottom w:val="single" w:sz="4" w:space="0" w:color="000000"/>
              <w:right w:val="single" w:sz="4" w:space="0" w:color="000000"/>
            </w:tcBorders>
          </w:tcPr>
          <w:p w14:paraId="18E653D2"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Obrazloženje</w:t>
            </w:r>
          </w:p>
          <w:p w14:paraId="572A67F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proračuna</w:t>
            </w:r>
          </w:p>
        </w:tc>
        <w:tc>
          <w:tcPr>
            <w:tcW w:w="2409" w:type="dxa"/>
            <w:tcBorders>
              <w:top w:val="single" w:sz="4" w:space="0" w:color="000000"/>
              <w:left w:val="single" w:sz="4" w:space="0" w:color="000000"/>
              <w:bottom w:val="single" w:sz="4" w:space="0" w:color="000000"/>
              <w:right w:val="single" w:sz="4" w:space="0" w:color="000000"/>
            </w:tcBorders>
          </w:tcPr>
          <w:p w14:paraId="10E37647"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Obrazloženje općeg i</w:t>
            </w:r>
          </w:p>
          <w:p w14:paraId="013D4BD4"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posebnog</w:t>
            </w:r>
          </w:p>
          <w:p w14:paraId="2792A2D0"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dijela proračuna</w:t>
            </w:r>
          </w:p>
        </w:tc>
        <w:tc>
          <w:tcPr>
            <w:tcW w:w="5103" w:type="dxa"/>
            <w:tcBorders>
              <w:top w:val="single" w:sz="4" w:space="0" w:color="000000"/>
              <w:left w:val="single" w:sz="4" w:space="0" w:color="000000"/>
              <w:bottom w:val="single" w:sz="4" w:space="0" w:color="000000"/>
              <w:right w:val="single" w:sz="4" w:space="0" w:color="000000"/>
            </w:tcBorders>
          </w:tcPr>
          <w:p w14:paraId="3F7CD224"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1. obrazloženje općeg dijela proračuna JLP(R)S sadrži obrazloženje prihoda i rashoda,</w:t>
            </w:r>
          </w:p>
          <w:p w14:paraId="3296867C"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primitaka i izdataka proračuna JLP(R)S i obrazloženje prenesenog manjka odnosno viška</w:t>
            </w:r>
          </w:p>
          <w:p w14:paraId="53B2054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proračuna JLP(R)S</w:t>
            </w:r>
          </w:p>
          <w:p w14:paraId="6F818AD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2. obrazloženje posebnog dijela proračuna JLP(R)S temelji se na obrazloženjima</w:t>
            </w:r>
          </w:p>
          <w:p w14:paraId="57B9868B"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financijskih planova proračunskih korisnika, a sastoji se od obrazloženja programa koje</w:t>
            </w:r>
          </w:p>
          <w:p w14:paraId="036B7451"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se daje kroz obrazloženje aktivnosti i projekata zajedno s ciljevima i pokazateljima</w:t>
            </w:r>
          </w:p>
          <w:p w14:paraId="4C59F78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uspješnosti iz akata strateškog planiranja</w:t>
            </w:r>
          </w:p>
        </w:tc>
      </w:tr>
    </w:tbl>
    <w:p w14:paraId="09AF7A2B" w14:textId="77777777" w:rsidR="000A3E83" w:rsidRPr="00875906" w:rsidRDefault="000A3E83">
      <w:pPr>
        <w:jc w:val="both"/>
        <w:rPr>
          <w:rFonts w:ascii="Times New Roman" w:hAnsi="Times New Roman" w:cs="Times New Roman"/>
        </w:rPr>
      </w:pPr>
    </w:p>
    <w:p w14:paraId="2BEE80FD"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Kod planiranja projekata sufinanciranih iz fondova Europske unije prihvatljivi i neprihvatljivi troškovi te vlastiti udio moraju se planirati na odgovarajućim izvorima financiranja. Za bespovratna sredstva koriste se oznake izvora koje odgovaraju programu/fondu EU, uz propisane analitičke oznake za raspoloživi predujam i predfinanciranje.</w:t>
      </w:r>
    </w:p>
    <w:p w14:paraId="77D73AAE"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Kod sredstava Mehanizma za oporavak i otpornost (NPOO) potrebno je osigurati podudarnost izvora kod davatelja i primatelja. Bespovratna sredstva NPOO-a doznačena iz izvora 581 evidentiraju se kod primatelja na izvoru 58100, dok se sredstva NPOO zajma doznačena iz izvora 815 evidentiraju na izvoru 50815.</w:t>
      </w:r>
    </w:p>
    <w:p w14:paraId="16F31E13"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Pri planiranju režijskih troškova za 2027. godinu potrebno je uzeti u obzir važeće mjere Vlade Republike Hrvatske koje se odnose na javni i neprofitni sektor, uključujući vrtiće i jedinice lokalne samouprave.</w:t>
      </w:r>
    </w:p>
    <w:p w14:paraId="07D571EF" w14:textId="77777777" w:rsidR="000A3E83" w:rsidRPr="00875906" w:rsidRDefault="008C7E91">
      <w:pPr>
        <w:pStyle w:val="Naslov2"/>
        <w:rPr>
          <w:rFonts w:ascii="Times New Roman" w:hAnsi="Times New Roman"/>
          <w:sz w:val="22"/>
          <w:szCs w:val="22"/>
        </w:rPr>
      </w:pPr>
      <w:bookmarkStart w:id="7" w:name="_Toc244201165"/>
      <w:r w:rsidRPr="00875906">
        <w:rPr>
          <w:rFonts w:ascii="Times New Roman" w:hAnsi="Times New Roman"/>
          <w:sz w:val="22"/>
          <w:szCs w:val="22"/>
        </w:rPr>
        <w:t>5.2. Rokovi za predlaganje i donošenje financijskog plana proračunskih korisnika proračuna Općine Kamanje</w:t>
      </w:r>
      <w:bookmarkEnd w:id="7"/>
    </w:p>
    <w:p w14:paraId="228085B0" w14:textId="77777777" w:rsidR="000A3E83" w:rsidRPr="00875906" w:rsidRDefault="000A3E83">
      <w:pPr>
        <w:jc w:val="both"/>
        <w:rPr>
          <w:rFonts w:ascii="Times New Roman" w:hAnsi="Times New Roman" w:cs="Times New Roman"/>
        </w:rPr>
      </w:pPr>
    </w:p>
    <w:p w14:paraId="37957CB1"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Zakonom o proračunu utvrđeni su rokovi u postupku donošenja proračuna. U svrhu poštivanja istih, rokovi za izradu prijedloga proračuna Općine Kamanje za trogodišnje razdoblje utvrđuju se kako slijedi:</w:t>
      </w:r>
    </w:p>
    <w:p w14:paraId="7CDD5E46" w14:textId="77777777" w:rsidR="000A3E83" w:rsidRPr="00875906" w:rsidRDefault="000A3E83">
      <w:pPr>
        <w:jc w:val="both"/>
        <w:rPr>
          <w:rFonts w:ascii="Times New Roman" w:hAnsi="Times New Roman" w:cs="Times New Roman"/>
        </w:rPr>
      </w:pPr>
    </w:p>
    <w:p w14:paraId="5376AAAD" w14:textId="77777777" w:rsidR="000A3E83" w:rsidRPr="00875906" w:rsidRDefault="008C7E91">
      <w:pPr>
        <w:numPr>
          <w:ilvl w:val="0"/>
          <w:numId w:val="4"/>
        </w:numPr>
        <w:jc w:val="both"/>
        <w:rPr>
          <w:rFonts w:ascii="Times New Roman" w:hAnsi="Times New Roman" w:cs="Times New Roman"/>
        </w:rPr>
      </w:pPr>
      <w:r w:rsidRPr="00875906">
        <w:rPr>
          <w:rFonts w:ascii="Times New Roman" w:hAnsi="Times New Roman" w:cs="Times New Roman"/>
        </w:rPr>
        <w:t xml:space="preserve"> Dječji vrtić Kamanje dužan je izraditi prijedlog financijskog plana za 2027. godinu i projekcije za 2028. i 2029. godinu, uputiti ga Upravnom vijeću na usvajanje te osigurati da Upravno vijeće usvoji prijedlog financijskog plana najkasnije do 05.11.2026. godine. Usvojeni </w:t>
      </w:r>
      <w:r w:rsidRPr="00875906">
        <w:rPr>
          <w:rFonts w:ascii="Times New Roman" w:hAnsi="Times New Roman" w:cs="Times New Roman"/>
        </w:rPr>
        <w:lastRenderedPageBreak/>
        <w:t>prijedlog financijskog plana s obrazloženjem Dječji vrtić Kamanje dužan je dostaviti Jedinstvenom upravnom odjelu Općine Kamanje najkasnije 05.11.2026. godine.</w:t>
      </w:r>
    </w:p>
    <w:p w14:paraId="0A7E8372" w14:textId="77777777" w:rsidR="000A3E83" w:rsidRPr="00875906" w:rsidRDefault="008C7E91">
      <w:pPr>
        <w:numPr>
          <w:ilvl w:val="0"/>
          <w:numId w:val="4"/>
        </w:numPr>
        <w:jc w:val="both"/>
        <w:rPr>
          <w:rFonts w:ascii="Times New Roman" w:hAnsi="Times New Roman" w:cs="Times New Roman"/>
        </w:rPr>
      </w:pPr>
      <w:r w:rsidRPr="00875906">
        <w:rPr>
          <w:rFonts w:ascii="Times New Roman" w:hAnsi="Times New Roman" w:cs="Times New Roman"/>
        </w:rPr>
        <w:t xml:space="preserve"> Jedinstveni upravni odjel izradit će nacrt Proračuna Općine Kamanje za 2027. godinu s projekcijama za 2028. i 2029. godinu najkasnije do 10.11.2026. godine. Općinski načelnik utvrdit će prijedlog Proračuna i podnijeti ga Općinskom vijeću na donošenje najkasnije do 15.11.2026. godine, sukladno članku 40. stavku 2. Zakona o proračunu.</w:t>
      </w:r>
    </w:p>
    <w:p w14:paraId="328562AA" w14:textId="77777777" w:rsidR="000A3E83" w:rsidRPr="00875906" w:rsidRDefault="008C7E91">
      <w:pPr>
        <w:numPr>
          <w:ilvl w:val="0"/>
          <w:numId w:val="4"/>
        </w:numPr>
        <w:jc w:val="both"/>
        <w:rPr>
          <w:rFonts w:ascii="Times New Roman" w:hAnsi="Times New Roman" w:cs="Times New Roman"/>
        </w:rPr>
      </w:pPr>
      <w:r w:rsidRPr="00875906">
        <w:rPr>
          <w:rFonts w:ascii="Times New Roman" w:hAnsi="Times New Roman" w:cs="Times New Roman"/>
        </w:rPr>
        <w:t xml:space="preserve"> Općinsko vijeće Općine Kamanje donosi Proračun za 2027. godinu i projekcije za 2028. i 2029. godinu do kraja 2026. godine, u roku koji omogućuje njegovu primjenu od 01.01.2027. godine, sukladno članku 42. stavku 1. Zakona o proračunu.</w:t>
      </w:r>
    </w:p>
    <w:p w14:paraId="4226DAB7" w14:textId="77777777" w:rsidR="00165CB9" w:rsidRDefault="008C7E91" w:rsidP="00165CB9">
      <w:pPr>
        <w:numPr>
          <w:ilvl w:val="0"/>
          <w:numId w:val="4"/>
        </w:numPr>
        <w:jc w:val="both"/>
        <w:rPr>
          <w:rFonts w:ascii="Times New Roman" w:hAnsi="Times New Roman" w:cs="Times New Roman"/>
        </w:rPr>
      </w:pPr>
      <w:r w:rsidRPr="00875906">
        <w:rPr>
          <w:rFonts w:ascii="Times New Roman" w:hAnsi="Times New Roman" w:cs="Times New Roman"/>
        </w:rPr>
        <w:t xml:space="preserve">Ako se financijski plan Dječjeg vrtića Kamanje sadržan u donesenom Proračunu Općine </w:t>
      </w:r>
      <w:r w:rsidR="00165CB9">
        <w:rPr>
          <w:rFonts w:ascii="Times New Roman" w:hAnsi="Times New Roman" w:cs="Times New Roman"/>
        </w:rPr>
        <w:t xml:space="preserve">  </w:t>
      </w:r>
    </w:p>
    <w:p w14:paraId="67A178D8" w14:textId="77777777" w:rsidR="000A3E83" w:rsidRPr="00875906" w:rsidRDefault="008C7E91" w:rsidP="00165CB9">
      <w:pPr>
        <w:ind w:left="720"/>
        <w:jc w:val="both"/>
        <w:rPr>
          <w:rFonts w:ascii="Times New Roman" w:hAnsi="Times New Roman" w:cs="Times New Roman"/>
        </w:rPr>
      </w:pPr>
      <w:r w:rsidRPr="00875906">
        <w:rPr>
          <w:rFonts w:ascii="Times New Roman" w:hAnsi="Times New Roman" w:cs="Times New Roman"/>
        </w:rPr>
        <w:t>Kamanje razlikuje od prijedloga financijskog plana koji je prethodno usvojilo Upravno vijeće, Jedinstveni upravni odjel obavijestit će Dječji vrtić Kamanje o promjenama, a Upravno vijeće će usvojiti financijski plan sadržan u donesenom Proračunu, sukladno članku 38. stavcima 6. i 7. Zakona o proračunu i članku 43. Pravilnika o planiranju u sustavu proračuna.</w:t>
      </w:r>
    </w:p>
    <w:p w14:paraId="38A5D28E" w14:textId="77777777" w:rsidR="000A3E83" w:rsidRPr="00875906" w:rsidRDefault="008C7E91">
      <w:pPr>
        <w:pStyle w:val="Naslov2"/>
        <w:rPr>
          <w:rFonts w:ascii="Times New Roman" w:hAnsi="Times New Roman"/>
          <w:sz w:val="22"/>
          <w:szCs w:val="22"/>
        </w:rPr>
      </w:pPr>
      <w:bookmarkStart w:id="8" w:name="_Toc244201166"/>
      <w:r w:rsidRPr="00875906">
        <w:rPr>
          <w:rFonts w:ascii="Times New Roman" w:hAnsi="Times New Roman"/>
          <w:sz w:val="22"/>
          <w:szCs w:val="22"/>
        </w:rPr>
        <w:t>5.3. Izmjene i dopune proračuna</w:t>
      </w:r>
      <w:bookmarkEnd w:id="8"/>
    </w:p>
    <w:p w14:paraId="4C8B747E" w14:textId="77777777" w:rsidR="000A3E83" w:rsidRPr="00875906" w:rsidRDefault="000A3E83">
      <w:pPr>
        <w:rPr>
          <w:rFonts w:ascii="Times New Roman" w:hAnsi="Times New Roman" w:cs="Times New Roman"/>
        </w:rPr>
      </w:pPr>
    </w:p>
    <w:p w14:paraId="1D00D6A0"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Izmjenama i dopunama proračuna mijenja se isključivo plan za tekuću proračunsku godinu.</w:t>
      </w:r>
    </w:p>
    <w:p w14:paraId="44366B3A"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Na postupak donošenja izmjena i dopuna proračuna na odgovarajući se način primjenjuju odredbe Zakona o proračunu za postupak donošenja proračuna.</w:t>
      </w:r>
    </w:p>
    <w:p w14:paraId="76BC6543"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Izmjene i dopune proračuna sastoje se od plana za tekuću proračunsku godinu i sadrže opći i posebni dio te obrazloženje izmjena i dopuna proračuna.</w:t>
      </w:r>
    </w:p>
    <w:p w14:paraId="3485A956"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Izmjenama i dopunama proračuna ne mogu se umanjiti rashodi i izdaci ispod razine izvršenja i preuzetih obveza po investicijskim projektima te preuzetih obveza iz ugovora koji zahtijevaju plaćanje u sljedećim godinama.</w:t>
      </w:r>
    </w:p>
    <w:p w14:paraId="06BE1499"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Ostvareni namjenski prihodi i primici i ostvareni vlastiti prihodi te rashodi i izdaci izvršeni iznad iznosa utvrđenih u proračunu, izmjenama i dopunama proračuna moraju se planirati minimalno na razini ostvarenih prihoda i primitaka, odnosno izvršenih rashoda i izdataka. Uz svake izmjene i dopune proračuna obvezno je izraditi obrazloženja izmjena i dopuna proračuna (općeg i posebnog dijela).</w:t>
      </w:r>
    </w:p>
    <w:p w14:paraId="4528E894" w14:textId="77777777" w:rsidR="000A3E83" w:rsidRPr="00875906" w:rsidRDefault="008C7E91">
      <w:pPr>
        <w:pStyle w:val="Naslov2"/>
        <w:rPr>
          <w:rFonts w:ascii="Times New Roman" w:hAnsi="Times New Roman"/>
          <w:sz w:val="22"/>
          <w:szCs w:val="22"/>
        </w:rPr>
      </w:pPr>
      <w:bookmarkStart w:id="9" w:name="_Toc244201167"/>
      <w:r w:rsidRPr="00875906">
        <w:rPr>
          <w:rFonts w:ascii="Times New Roman" w:hAnsi="Times New Roman"/>
          <w:sz w:val="22"/>
          <w:szCs w:val="22"/>
        </w:rPr>
        <w:t>5.4. Izmjene i dopune financijskog plana</w:t>
      </w:r>
      <w:bookmarkEnd w:id="9"/>
    </w:p>
    <w:p w14:paraId="4D6F5C0B" w14:textId="77777777" w:rsidR="000A3E83" w:rsidRPr="00875906" w:rsidRDefault="000A3E83">
      <w:pPr>
        <w:jc w:val="both"/>
        <w:rPr>
          <w:rFonts w:ascii="Times New Roman" w:hAnsi="Times New Roman" w:cs="Times New Roman"/>
          <w:b/>
          <w:bCs/>
          <w:i/>
          <w:iCs/>
        </w:rPr>
      </w:pPr>
    </w:p>
    <w:p w14:paraId="442AE983"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Sukladno odredbama Zakona o proračunu izmjenama i dopunama financijskog plana mijenja se isključivo usvojeni plan za tekuću proračunsku godinu. </w:t>
      </w:r>
    </w:p>
    <w:p w14:paraId="3D4D266C"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Na postupak donošenja izmjena i dopuna financijskog plana na odgovarajući se način primjenjuju odredbe Zakona o proračunu za postupak donošenja financijskog plana. </w:t>
      </w:r>
    </w:p>
    <w:p w14:paraId="53C7E349" w14:textId="77777777" w:rsidR="000A3E83" w:rsidRPr="00875906" w:rsidRDefault="000A3E83">
      <w:pPr>
        <w:jc w:val="both"/>
        <w:rPr>
          <w:rFonts w:ascii="Times New Roman" w:hAnsi="Times New Roman" w:cs="Times New Roman"/>
        </w:rPr>
      </w:pPr>
    </w:p>
    <w:p w14:paraId="3667507F"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Izmjenama i dopunama financijskog plana ne mogu se umanjiti rashodi i izdaci ispod razine izvršenja i preuzetih obveza po investicijskim projektima te preuzetih obveza iz ugovora koji zahtijevaju plaćanje u sljedećim godinama. </w:t>
      </w:r>
    </w:p>
    <w:p w14:paraId="3487DDF9" w14:textId="77777777" w:rsidR="000A3E83" w:rsidRPr="00875906" w:rsidRDefault="000A3E83">
      <w:pPr>
        <w:jc w:val="both"/>
        <w:rPr>
          <w:rFonts w:ascii="Times New Roman" w:hAnsi="Times New Roman" w:cs="Times New Roman"/>
        </w:rPr>
      </w:pPr>
    </w:p>
    <w:p w14:paraId="5B5B5805"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Ostvareni namjenski prihodi i primici i ostvareni vlastiti prihodi te rashodi i izdaci izvršeni iznad iznosa utvrđenih u financijskom planu, izmjenama i dopunama financijskog plana moraju se planirati minimalno na razini ostvarenih prihoda i primitaka, odnosno izvršenih rashoda i izdataka. </w:t>
      </w:r>
    </w:p>
    <w:p w14:paraId="5A4CAB5B" w14:textId="77777777" w:rsidR="000A3E83" w:rsidRPr="00875906" w:rsidRDefault="000A3E83">
      <w:pPr>
        <w:jc w:val="both"/>
        <w:rPr>
          <w:rFonts w:ascii="Times New Roman" w:hAnsi="Times New Roman" w:cs="Times New Roman"/>
        </w:rPr>
      </w:pPr>
    </w:p>
    <w:p w14:paraId="4A569F58"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Uz svake izmjene i dopune financijskog plana obvezno je izraditi obrazloženja izmjena i dopuna financijskog plana (općeg i posebnog dijela). </w:t>
      </w:r>
    </w:p>
    <w:p w14:paraId="782BD246" w14:textId="77777777" w:rsidR="000A3E83" w:rsidRPr="00875906" w:rsidRDefault="000A3E83">
      <w:pPr>
        <w:jc w:val="both"/>
        <w:rPr>
          <w:rFonts w:ascii="Times New Roman" w:hAnsi="Times New Roman" w:cs="Times New Roman"/>
        </w:rPr>
      </w:pPr>
    </w:p>
    <w:p w14:paraId="442EC96E"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 xml:space="preserve">Podsjećamo da je izmjene i dopune financijskog plana proračunskog korisnika moguće izraditi na sljedeće načine: </w:t>
      </w:r>
    </w:p>
    <w:p w14:paraId="51F2607E" w14:textId="77777777" w:rsidR="000A3E83" w:rsidRPr="00875906" w:rsidRDefault="008C7E91">
      <w:pPr>
        <w:numPr>
          <w:ilvl w:val="0"/>
          <w:numId w:val="10"/>
        </w:numPr>
        <w:jc w:val="both"/>
        <w:rPr>
          <w:rFonts w:ascii="Times New Roman" w:hAnsi="Times New Roman" w:cs="Times New Roman"/>
        </w:rPr>
      </w:pPr>
      <w:r w:rsidRPr="00875906">
        <w:rPr>
          <w:rFonts w:ascii="Times New Roman" w:hAnsi="Times New Roman" w:cs="Times New Roman"/>
        </w:rPr>
        <w:t xml:space="preserve">Kada je riječ o promjenama u financijskom planu proračunskih korisnika koje su vezane uz financiranje iz izvora općih prihoda i primitaka, odnosno iz nadležnog lokalnog proračuna, </w:t>
      </w:r>
      <w:r w:rsidRPr="00875906">
        <w:rPr>
          <w:rFonts w:ascii="Times New Roman" w:hAnsi="Times New Roman" w:cs="Times New Roman"/>
        </w:rPr>
        <w:lastRenderedPageBreak/>
        <w:t xml:space="preserve">izmjene i dopune financijskog plana proračunskog korisnika nisu moguće bez suglasnosti Općine Kamanje. </w:t>
      </w:r>
    </w:p>
    <w:p w14:paraId="5A6CB250" w14:textId="77777777" w:rsidR="000A3E83" w:rsidRPr="00875906" w:rsidRDefault="008C7E91">
      <w:pPr>
        <w:numPr>
          <w:ilvl w:val="0"/>
          <w:numId w:val="10"/>
        </w:numPr>
        <w:jc w:val="both"/>
        <w:rPr>
          <w:rFonts w:ascii="Times New Roman" w:hAnsi="Times New Roman" w:cs="Times New Roman"/>
          <w:b/>
          <w:bCs/>
          <w:i/>
          <w:iCs/>
        </w:rPr>
      </w:pPr>
      <w:r w:rsidRPr="00875906">
        <w:rPr>
          <w:rFonts w:ascii="Times New Roman" w:hAnsi="Times New Roman" w:cs="Times New Roman"/>
        </w:rPr>
        <w:t>Izmjene i dopune financijskog plana proračunskog korisnika vezane uz „fleksibilne“ izvore (vlastite i namjenske prihode i primitke) moguće je provesti bez prethodne suglasnosti Općine Kamanje a izmjene i dopune se uključuju u proračun Kamanje sa slijedećim izmjenama i dopunama i uz prethodno postupanje koje je uređeno odlukom o izvršavanju proračuna Općine Kamanje za tekuću godinu.</w:t>
      </w:r>
    </w:p>
    <w:p w14:paraId="1701A086" w14:textId="77777777" w:rsidR="000A3E83" w:rsidRPr="00875906" w:rsidRDefault="008C7E91">
      <w:pPr>
        <w:pStyle w:val="Naslov2"/>
        <w:rPr>
          <w:rFonts w:ascii="Times New Roman" w:hAnsi="Times New Roman"/>
          <w:sz w:val="22"/>
          <w:szCs w:val="22"/>
        </w:rPr>
      </w:pPr>
      <w:bookmarkStart w:id="10" w:name="_Toc244201168"/>
      <w:r w:rsidRPr="00875906">
        <w:rPr>
          <w:rFonts w:ascii="Times New Roman" w:hAnsi="Times New Roman"/>
          <w:sz w:val="22"/>
          <w:szCs w:val="22"/>
        </w:rPr>
        <w:t>5.6. Transparentnost proračuna</w:t>
      </w:r>
      <w:bookmarkEnd w:id="10"/>
    </w:p>
    <w:p w14:paraId="3477F904" w14:textId="77777777" w:rsidR="000A3E83" w:rsidRPr="00875906" w:rsidRDefault="000A3E83">
      <w:pPr>
        <w:jc w:val="both"/>
        <w:rPr>
          <w:rFonts w:ascii="Times New Roman" w:hAnsi="Times New Roman" w:cs="Times New Roman"/>
          <w:b/>
          <w:bCs/>
          <w:i/>
          <w:iCs/>
        </w:rPr>
      </w:pPr>
    </w:p>
    <w:p w14:paraId="7998DB1A"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 skladu s Zakonom o proračunu propisana je obveza objave dokumenata i informacija o trošenju sredstava. Kako bi se osiguralo ostvarenje načela transparentnosti i slobodan pristup informacijama kao i njihovo povezivanje, preuzimanje i ponovno korištenje materijali vezani uz proračun i njegove izmjene objavljuju se u formatu pogodnom za daljnju obradu (word i excel).</w:t>
      </w:r>
    </w:p>
    <w:p w14:paraId="781A6DAD" w14:textId="77777777" w:rsidR="000A3E83" w:rsidRPr="00875906" w:rsidRDefault="000A3E83">
      <w:pPr>
        <w:jc w:val="both"/>
        <w:rPr>
          <w:rFonts w:ascii="Times New Roman" w:hAnsi="Times New Roman" w:cs="Times New Roman"/>
        </w:rPr>
      </w:pPr>
    </w:p>
    <w:p w14:paraId="28EE822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Sukladno odredbama članka 144. Zakona o proračunu u nastavku navodimo obaveze vezano za transparentnost:</w:t>
      </w:r>
    </w:p>
    <w:p w14:paraId="6103F931" w14:textId="77777777" w:rsidR="000A3E83" w:rsidRPr="00875906" w:rsidRDefault="008C7E91">
      <w:pPr>
        <w:numPr>
          <w:ilvl w:val="0"/>
          <w:numId w:val="10"/>
        </w:numPr>
        <w:jc w:val="both"/>
        <w:rPr>
          <w:rFonts w:ascii="Times New Roman" w:hAnsi="Times New Roman" w:cs="Times New Roman"/>
        </w:rPr>
      </w:pPr>
      <w:r w:rsidRPr="00875906">
        <w:rPr>
          <w:rFonts w:ascii="Times New Roman" w:hAnsi="Times New Roman" w:cs="Times New Roman"/>
        </w:rPr>
        <w:t>Proračun i izmjene i dopune proračuna, odluka o privremenom financiranju, odluka i izmjene i dopune odluke o izvršavanju proračuna jedinica lokalne i područne (regionalne) samouprave, polugodišnji i godišnji izvještaj o izvršenju proračuna objavljuju se na mrežnim stranicama Općine Kamanje,</w:t>
      </w:r>
    </w:p>
    <w:p w14:paraId="707BC3A2" w14:textId="77777777" w:rsidR="000A3E83" w:rsidRPr="00875906" w:rsidRDefault="008C7E91">
      <w:pPr>
        <w:numPr>
          <w:ilvl w:val="0"/>
          <w:numId w:val="6"/>
        </w:numPr>
        <w:jc w:val="both"/>
        <w:rPr>
          <w:rFonts w:ascii="Times New Roman" w:hAnsi="Times New Roman" w:cs="Times New Roman"/>
        </w:rPr>
      </w:pPr>
      <w:r w:rsidRPr="00875906">
        <w:rPr>
          <w:rFonts w:ascii="Times New Roman" w:hAnsi="Times New Roman" w:cs="Times New Roman"/>
        </w:rPr>
        <w:t>Financijski plan i izmjene i dopune financijskog plana, polugodišnji i godišnji izvještaj o izvršenju financijskog plana proračunskog korisnika objavljuje se na njegovim mrežnim stranicama, odnosno na mrežnim stranicama Općine Kamanje,</w:t>
      </w:r>
    </w:p>
    <w:p w14:paraId="570D2133" w14:textId="77777777" w:rsidR="000A3E83" w:rsidRPr="00875906" w:rsidRDefault="008C7E91">
      <w:pPr>
        <w:numPr>
          <w:ilvl w:val="0"/>
          <w:numId w:val="6"/>
        </w:numPr>
        <w:jc w:val="both"/>
        <w:rPr>
          <w:rFonts w:ascii="Times New Roman" w:hAnsi="Times New Roman" w:cs="Times New Roman"/>
        </w:rPr>
      </w:pPr>
      <w:r w:rsidRPr="00875906">
        <w:rPr>
          <w:rFonts w:ascii="Times New Roman" w:hAnsi="Times New Roman" w:cs="Times New Roman"/>
        </w:rPr>
        <w:t>ako proračunski korisnik nema svoje mrežne stranice, Opći i posebni dio proračuna, odluka o izvršavanju proračuna Općine Kamanje, izmjene i dopune proračuna te izmjene i dopune odluke o izvršavanju proračuna, odluka o privremenom financiranju te opći i posebni dio polugodišnjeg i godišnjeg izvještaja o izvršenju proračuna objavljuju se u službenom glasilu Općine Kamanje,</w:t>
      </w:r>
    </w:p>
    <w:p w14:paraId="2DBF8B67" w14:textId="77777777" w:rsidR="000A3E83" w:rsidRPr="00875906" w:rsidRDefault="008C7E91">
      <w:pPr>
        <w:numPr>
          <w:ilvl w:val="0"/>
          <w:numId w:val="6"/>
        </w:numPr>
        <w:jc w:val="both"/>
        <w:rPr>
          <w:rFonts w:ascii="Times New Roman" w:hAnsi="Times New Roman" w:cs="Times New Roman"/>
        </w:rPr>
      </w:pPr>
      <w:r w:rsidRPr="00875906">
        <w:rPr>
          <w:rFonts w:ascii="Times New Roman" w:hAnsi="Times New Roman" w:cs="Times New Roman"/>
        </w:rPr>
        <w:t>Vodič za građane o proračunu, izmjenama i dopunama proračuna te polugodišnjem i godišnjem izvještaju o izvršenju proračuna objavljuje se na mrežnim stranicama Općine Kamanje.</w:t>
      </w:r>
    </w:p>
    <w:p w14:paraId="2853BB25" w14:textId="77777777" w:rsidR="000A3E83" w:rsidRPr="00875906" w:rsidRDefault="000A3E83">
      <w:pPr>
        <w:ind w:left="720"/>
        <w:jc w:val="both"/>
        <w:rPr>
          <w:rFonts w:ascii="Times New Roman" w:hAnsi="Times New Roman" w:cs="Times New Roman"/>
        </w:rPr>
      </w:pPr>
    </w:p>
    <w:p w14:paraId="2F3F5448"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U skladu sa dosadašnjom praksom, a vezano za transparentnost proračuna, Općina Kamanje objavljuje na svojim mrežnim stranicama:</w:t>
      </w:r>
    </w:p>
    <w:p w14:paraId="2B911FD4" w14:textId="77777777" w:rsidR="000A3E83" w:rsidRPr="00875906" w:rsidRDefault="008C7E91">
      <w:pPr>
        <w:numPr>
          <w:ilvl w:val="0"/>
          <w:numId w:val="6"/>
        </w:numPr>
        <w:jc w:val="both"/>
        <w:rPr>
          <w:rFonts w:ascii="Times New Roman" w:hAnsi="Times New Roman" w:cs="Times New Roman"/>
        </w:rPr>
      </w:pPr>
      <w:r w:rsidRPr="00875906">
        <w:rPr>
          <w:rFonts w:ascii="Times New Roman" w:hAnsi="Times New Roman" w:cs="Times New Roman"/>
        </w:rPr>
        <w:t>prijedlog proračuna, izglasani proračun, izmjene i dopune proračuna, proračunski vodič, polugodišnji i godišnji izvještaji o izvršenju proračuna,</w:t>
      </w:r>
    </w:p>
    <w:p w14:paraId="797EE167" w14:textId="77777777" w:rsidR="000A3E83" w:rsidRPr="00875906" w:rsidRDefault="008C7E91">
      <w:pPr>
        <w:numPr>
          <w:ilvl w:val="0"/>
          <w:numId w:val="6"/>
        </w:numPr>
        <w:jc w:val="both"/>
        <w:rPr>
          <w:rFonts w:ascii="Times New Roman" w:hAnsi="Times New Roman" w:cs="Times New Roman"/>
        </w:rPr>
      </w:pPr>
      <w:r w:rsidRPr="00875906">
        <w:rPr>
          <w:rFonts w:ascii="Times New Roman" w:hAnsi="Times New Roman" w:cs="Times New Roman"/>
        </w:rPr>
        <w:t>pri objavi prijedloga proračuna, izglasanog proračuna te izmjena i dopuna proračuna objavljuje se kompletan sadržaj tih proračunskih dokumenata (opći i posebni dio proračuna),</w:t>
      </w:r>
    </w:p>
    <w:p w14:paraId="139A2102"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t>usvojeni proračuni objavljuju se, za proračunsku godinu i za sljedeće dvije godine na drugoj razini računskoga plana (na razini skupine).</w:t>
      </w:r>
    </w:p>
    <w:p w14:paraId="1AF1157B" w14:textId="77777777" w:rsidR="000A3E83" w:rsidRPr="00875906" w:rsidRDefault="000A3E83">
      <w:pPr>
        <w:jc w:val="both"/>
        <w:rPr>
          <w:rFonts w:ascii="Times New Roman" w:hAnsi="Times New Roman" w:cs="Times New Roman"/>
        </w:rPr>
      </w:pPr>
    </w:p>
    <w:p w14:paraId="2DD1DBAA" w14:textId="77777777" w:rsidR="000A3E83" w:rsidRPr="00875906" w:rsidRDefault="008C7E91">
      <w:pPr>
        <w:pStyle w:val="Naslov2"/>
        <w:numPr>
          <w:ilvl w:val="0"/>
          <w:numId w:val="13"/>
        </w:numPr>
        <w:rPr>
          <w:rFonts w:ascii="Times New Roman" w:hAnsi="Times New Roman"/>
          <w:sz w:val="22"/>
          <w:szCs w:val="22"/>
        </w:rPr>
      </w:pPr>
      <w:bookmarkStart w:id="11" w:name="_Toc244201169"/>
      <w:r w:rsidRPr="00875906">
        <w:rPr>
          <w:rFonts w:ascii="Times New Roman" w:hAnsi="Times New Roman"/>
          <w:sz w:val="22"/>
          <w:szCs w:val="22"/>
        </w:rPr>
        <w:t>NOVI PRORAČUNSKI PROPISI</w:t>
      </w:r>
      <w:bookmarkEnd w:id="11"/>
    </w:p>
    <w:p w14:paraId="66E4C346" w14:textId="77777777" w:rsidR="000A3E83" w:rsidRPr="00875906" w:rsidRDefault="000A3E83">
      <w:pPr>
        <w:jc w:val="both"/>
        <w:rPr>
          <w:rFonts w:ascii="Times New Roman" w:hAnsi="Times New Roman" w:cs="Times New Roman"/>
        </w:rPr>
      </w:pPr>
    </w:p>
    <w:p w14:paraId="71244F4F"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Temeljem odredbi Zakona o proračuna tijekom 2023. i 2024. godine doneseno je nekoliko podzakonskih propisa koje je potrebno uvažiti prilikom izrade financijskih planova i proračuna.</w:t>
      </w:r>
    </w:p>
    <w:p w14:paraId="190385B5" w14:textId="77777777" w:rsidR="000A3E83" w:rsidRPr="00875906" w:rsidRDefault="000A3E83">
      <w:pPr>
        <w:jc w:val="both"/>
        <w:rPr>
          <w:rFonts w:ascii="Times New Roman" w:hAnsi="Times New Roman" w:cs="Times New Roman"/>
        </w:rPr>
      </w:pPr>
    </w:p>
    <w:p w14:paraId="372D3BE8"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t>Pravilnik o planiranju u sustavu proračuna (NN br. 01/24) – sastavni dio pravilnika su prilozi kojima se daje format izgleda i sadržaja općeg i posebnog dijela proračuna JLPRS i financijskog plana proračunskog korisnika JLPRS te prilozi kojima se daje format izgleda i sadržaja izmjena i dopuna proračuna i financijskih planova.</w:t>
      </w:r>
    </w:p>
    <w:p w14:paraId="5D60143D"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t>Pravilnik o proračunskim klasifikacijama (NN br. 4/24 i 122/25)</w:t>
      </w:r>
    </w:p>
    <w:p w14:paraId="49F543A6"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t>Pravilnik o proračunskom računovodstvu i Računskom planu (NN br. 158/23 i 154/24)</w:t>
      </w:r>
    </w:p>
    <w:p w14:paraId="613108D3"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lastRenderedPageBreak/>
        <w:t>Pravilnik o korištenju sredstava Europske unije (NN br. 44/24)</w:t>
      </w:r>
    </w:p>
    <w:p w14:paraId="312C7878" w14:textId="77777777" w:rsidR="000A3E83" w:rsidRPr="00875906" w:rsidRDefault="008C7E91">
      <w:pPr>
        <w:numPr>
          <w:ilvl w:val="0"/>
          <w:numId w:val="14"/>
        </w:numPr>
        <w:jc w:val="both"/>
        <w:rPr>
          <w:rFonts w:ascii="Times New Roman" w:hAnsi="Times New Roman" w:cs="Times New Roman"/>
        </w:rPr>
      </w:pPr>
      <w:r w:rsidRPr="00875906">
        <w:rPr>
          <w:rFonts w:ascii="Times New Roman" w:hAnsi="Times New Roman" w:cs="Times New Roman"/>
        </w:rPr>
        <w:t>Uredba o načinu ocjene i postupku odobravanja investicijskih projekata (NN br. 158/23)</w:t>
      </w:r>
    </w:p>
    <w:p w14:paraId="12166A10" w14:textId="77777777" w:rsidR="000A3E83" w:rsidRPr="00875906" w:rsidRDefault="000A3E83">
      <w:pPr>
        <w:jc w:val="both"/>
        <w:rPr>
          <w:rFonts w:ascii="Times New Roman" w:hAnsi="Times New Roman" w:cs="Times New Roman"/>
        </w:rPr>
      </w:pPr>
    </w:p>
    <w:p w14:paraId="00EFB2D2" w14:textId="77777777" w:rsidR="000A3E83" w:rsidRPr="00875906" w:rsidRDefault="008C7E91">
      <w:pPr>
        <w:pStyle w:val="Naslov1"/>
        <w:rPr>
          <w:rFonts w:ascii="Times New Roman" w:hAnsi="Times New Roman"/>
          <w:sz w:val="22"/>
          <w:szCs w:val="22"/>
        </w:rPr>
      </w:pPr>
      <w:bookmarkStart w:id="12" w:name="_Toc244201170"/>
      <w:r w:rsidRPr="00875906">
        <w:rPr>
          <w:rFonts w:ascii="Times New Roman" w:hAnsi="Times New Roman"/>
          <w:sz w:val="22"/>
          <w:szCs w:val="22"/>
        </w:rPr>
        <w:t>7. DOSTAVA DOKUMENATA I UNOS PODATAKA</w:t>
      </w:r>
      <w:bookmarkEnd w:id="12"/>
    </w:p>
    <w:p w14:paraId="06ABCEF3" w14:textId="77777777" w:rsidR="000A3E83" w:rsidRPr="00875906" w:rsidRDefault="008C7E91">
      <w:pPr>
        <w:pStyle w:val="Naslov2"/>
        <w:rPr>
          <w:rFonts w:ascii="Times New Roman" w:hAnsi="Times New Roman"/>
          <w:sz w:val="22"/>
          <w:szCs w:val="22"/>
        </w:rPr>
      </w:pPr>
      <w:bookmarkStart w:id="13" w:name="_Toc244201171"/>
      <w:r w:rsidRPr="00875906">
        <w:rPr>
          <w:rFonts w:ascii="Times New Roman" w:hAnsi="Times New Roman"/>
          <w:sz w:val="22"/>
          <w:szCs w:val="22"/>
        </w:rPr>
        <w:t>7.1. Dostava proračunskih dokumenata Ministarstvu financija i Državnom uredu za reviziju</w:t>
      </w:r>
      <w:bookmarkEnd w:id="13"/>
    </w:p>
    <w:p w14:paraId="082EFDA6" w14:textId="77777777" w:rsidR="000A3E83" w:rsidRPr="00875906" w:rsidRDefault="008C7E91" w:rsidP="00267379">
      <w:pPr>
        <w:ind w:firstLine="708"/>
        <w:jc w:val="both"/>
        <w:rPr>
          <w:rFonts w:ascii="Times New Roman" w:hAnsi="Times New Roman" w:cs="Times New Roman"/>
        </w:rPr>
      </w:pPr>
      <w:r w:rsidRPr="00875906">
        <w:rPr>
          <w:rFonts w:ascii="Times New Roman" w:hAnsi="Times New Roman" w:cs="Times New Roman"/>
        </w:rPr>
        <w:t xml:space="preserve">U 2027. godini Općina Kamanje dužna je Ministarstvu financija na adresu </w:t>
      </w:r>
      <w:hyperlink r:id="rId9" w:history="1">
        <w:r w:rsidR="00267379" w:rsidRPr="000404C4">
          <w:rPr>
            <w:rStyle w:val="Hiperveza"/>
            <w:rFonts w:ascii="Times New Roman" w:hAnsi="Times New Roman" w:cs="Times New Roman"/>
          </w:rPr>
          <w:t>lokalni.proracuni@mfin.hr</w:t>
        </w:r>
      </w:hyperlink>
      <w:r w:rsidR="00267379">
        <w:rPr>
          <w:rFonts w:ascii="Times New Roman" w:hAnsi="Times New Roman" w:cs="Times New Roman"/>
        </w:rPr>
        <w:t xml:space="preserve"> </w:t>
      </w:r>
      <w:r w:rsidRPr="00875906">
        <w:rPr>
          <w:rFonts w:ascii="Times New Roman" w:hAnsi="Times New Roman" w:cs="Times New Roman"/>
        </w:rPr>
        <w:t xml:space="preserve"> poslati poveznicu na propisane proračunske dokumente objavljene u službenom glasilu te iste paralelno učitati u RKPFI aplikaciju u propisanom CSV formatu, u roku od 15 dana od dana njihova stupanja na snagu, odnosno 15 dana nakon donošenja od strane predstavničkog tijela, u skladu s Uputama Ministarstva financija za razdoblje 2027. - 2029.</w:t>
      </w:r>
    </w:p>
    <w:p w14:paraId="0DC57F38" w14:textId="77777777" w:rsidR="000A3E83" w:rsidRDefault="008C7E91">
      <w:pPr>
        <w:jc w:val="both"/>
        <w:rPr>
          <w:rFonts w:ascii="Times New Roman" w:hAnsi="Times New Roman" w:cs="Times New Roman"/>
        </w:rPr>
      </w:pPr>
      <w:r w:rsidRPr="00875906">
        <w:rPr>
          <w:rFonts w:ascii="Times New Roman" w:hAnsi="Times New Roman" w:cs="Times New Roman"/>
        </w:rPr>
        <w:t>Godišnji izvještaj o izvršenju proračuna dostavlja se i Državnom uredu za reviziju u roku od 15 dana nakon donošenja. Ako predstavničko tijelo godišnji izvještaj ne donese, dostavlja se u roku od 60 dana od dana njegova podnošenja predstavničkom tijelu. Dokumente nije potrebno dostavljati u papirnatom obliku.</w:t>
      </w:r>
    </w:p>
    <w:p w14:paraId="6CAE421F" w14:textId="77777777" w:rsidR="00267379" w:rsidRPr="00267379" w:rsidRDefault="00267379">
      <w:pPr>
        <w:jc w:val="both"/>
        <w:rPr>
          <w:rFonts w:ascii="Times New Roman" w:hAnsi="Times New Roman" w:cs="Times New Roman"/>
          <w:i/>
        </w:rPr>
      </w:pPr>
    </w:p>
    <w:p w14:paraId="742B9F59" w14:textId="77777777" w:rsidR="000A3E83" w:rsidRPr="00267379" w:rsidRDefault="008C7E91">
      <w:pPr>
        <w:jc w:val="both"/>
        <w:rPr>
          <w:rFonts w:ascii="Times New Roman" w:hAnsi="Times New Roman" w:cs="Times New Roman"/>
          <w:b/>
          <w:i/>
        </w:rPr>
      </w:pPr>
      <w:r w:rsidRPr="00267379">
        <w:rPr>
          <w:rFonts w:ascii="Times New Roman" w:hAnsi="Times New Roman" w:cs="Times New Roman"/>
          <w:b/>
          <w:i/>
        </w:rPr>
        <w:t>7.2. Struktura i format podataka za RKPFI aplikaciju</w:t>
      </w:r>
    </w:p>
    <w:p w14:paraId="488D1A22" w14:textId="77777777" w:rsidR="00267379" w:rsidRPr="00267379" w:rsidRDefault="00267379">
      <w:pPr>
        <w:jc w:val="both"/>
        <w:rPr>
          <w:rFonts w:ascii="Times New Roman" w:hAnsi="Times New Roman" w:cs="Times New Roman"/>
          <w:b/>
        </w:rPr>
      </w:pPr>
    </w:p>
    <w:p w14:paraId="68306D7B" w14:textId="77777777" w:rsidR="000A3E83" w:rsidRDefault="008C7E91">
      <w:pPr>
        <w:jc w:val="both"/>
        <w:rPr>
          <w:rFonts w:ascii="Times New Roman" w:hAnsi="Times New Roman" w:cs="Times New Roman"/>
        </w:rPr>
      </w:pPr>
      <w:r w:rsidRPr="00875906">
        <w:rPr>
          <w:rFonts w:ascii="Times New Roman" w:hAnsi="Times New Roman" w:cs="Times New Roman"/>
        </w:rPr>
        <w:t>Proračunski dokumenti moraju biti strukturirani u skladu s Pravilnikom o planiranju u sustavu proračuna i Pravilnikom o proračunskim klasifikacijama. Razdjel se označava s 3 znamenke, glava s 5 znamenki, program s 4 znamenke, a aktivnost/tekući/kapitalni projekt slovom A, T ili K i 6 znamenki. Izvori financiranja, funkcijska i ekonomska klasifikacija moraju biti usklađeni s važećim propisima. Proračun sadrži izvršenje t-2, tekući plan t-1, plan t te projekcije t+1 i t+2.</w:t>
      </w:r>
    </w:p>
    <w:p w14:paraId="24E4ED70" w14:textId="77777777" w:rsidR="00267379" w:rsidRPr="00875906" w:rsidRDefault="00267379">
      <w:pPr>
        <w:jc w:val="both"/>
        <w:rPr>
          <w:rFonts w:ascii="Times New Roman" w:hAnsi="Times New Roman" w:cs="Times New Roman"/>
        </w:rPr>
      </w:pPr>
    </w:p>
    <w:p w14:paraId="7D75AEC9" w14:textId="77777777" w:rsidR="000A3E83" w:rsidRDefault="008C7E91">
      <w:pPr>
        <w:jc w:val="both"/>
        <w:rPr>
          <w:rFonts w:ascii="Times New Roman" w:hAnsi="Times New Roman" w:cs="Times New Roman"/>
          <w:b/>
          <w:i/>
        </w:rPr>
      </w:pPr>
      <w:r w:rsidRPr="00267379">
        <w:rPr>
          <w:rFonts w:ascii="Times New Roman" w:hAnsi="Times New Roman" w:cs="Times New Roman"/>
          <w:b/>
          <w:i/>
        </w:rPr>
        <w:t>7.3. Dostava Ministarstvu financija radi nadzora zakonitosti</w:t>
      </w:r>
    </w:p>
    <w:p w14:paraId="26BF51B4" w14:textId="77777777" w:rsidR="00267379" w:rsidRPr="00267379" w:rsidRDefault="00267379">
      <w:pPr>
        <w:jc w:val="both"/>
        <w:rPr>
          <w:rFonts w:ascii="Times New Roman" w:hAnsi="Times New Roman" w:cs="Times New Roman"/>
          <w:b/>
          <w:i/>
        </w:rPr>
      </w:pPr>
    </w:p>
    <w:p w14:paraId="14AE2376" w14:textId="77777777" w:rsidR="000A3E83" w:rsidRDefault="008C7E91">
      <w:pPr>
        <w:jc w:val="both"/>
        <w:rPr>
          <w:rFonts w:ascii="Times New Roman" w:hAnsi="Times New Roman" w:cs="Times New Roman"/>
        </w:rPr>
      </w:pPr>
      <w:r w:rsidRPr="00875906">
        <w:rPr>
          <w:rFonts w:ascii="Times New Roman" w:hAnsi="Times New Roman" w:cs="Times New Roman"/>
        </w:rPr>
        <w:t xml:space="preserve">Proračun, odluka o izvršavanju proračuna, izmjene i dopune proračuna te izmjene i dopune odluke o izvršavanju proračuna dostavljaju se Ministarstvu financija radi nadzora zakonitosti u roku od 15 dana od dana stupanja na snagu, na adresu </w:t>
      </w:r>
      <w:hyperlink r:id="rId10" w:history="1">
        <w:r w:rsidR="00267379" w:rsidRPr="000404C4">
          <w:rPr>
            <w:rStyle w:val="Hiperveza"/>
            <w:rFonts w:ascii="Times New Roman" w:hAnsi="Times New Roman" w:cs="Times New Roman"/>
          </w:rPr>
          <w:t>nadzor.zakonitosti@mfin.hr</w:t>
        </w:r>
      </w:hyperlink>
      <w:r w:rsidR="00267379">
        <w:rPr>
          <w:rFonts w:ascii="Times New Roman" w:hAnsi="Times New Roman" w:cs="Times New Roman"/>
        </w:rPr>
        <w:t xml:space="preserve"> </w:t>
      </w:r>
      <w:r w:rsidRPr="00875906">
        <w:rPr>
          <w:rFonts w:ascii="Times New Roman" w:hAnsi="Times New Roman" w:cs="Times New Roman"/>
        </w:rPr>
        <w:t>, u PDF formatu s potpisom odgovorne osobe i pečatom. Za ovu dostavu ne šalje se poveznica, već sami dokumenti.</w:t>
      </w:r>
    </w:p>
    <w:p w14:paraId="77931AC3" w14:textId="77777777" w:rsidR="00267379" w:rsidRPr="00875906" w:rsidRDefault="00267379">
      <w:pPr>
        <w:jc w:val="both"/>
        <w:rPr>
          <w:rFonts w:ascii="Times New Roman" w:hAnsi="Times New Roman" w:cs="Times New Roman"/>
        </w:rPr>
      </w:pPr>
    </w:p>
    <w:p w14:paraId="6176B42F" w14:textId="77777777" w:rsidR="000A3E83" w:rsidRDefault="008C7E91">
      <w:pPr>
        <w:jc w:val="both"/>
        <w:rPr>
          <w:rFonts w:ascii="Times New Roman" w:hAnsi="Times New Roman" w:cs="Times New Roman"/>
          <w:b/>
          <w:i/>
        </w:rPr>
      </w:pPr>
      <w:r w:rsidRPr="00267379">
        <w:rPr>
          <w:rFonts w:ascii="Times New Roman" w:hAnsi="Times New Roman" w:cs="Times New Roman"/>
          <w:b/>
          <w:i/>
        </w:rPr>
        <w:t>7.4. Dostava ugovora i izvješća o zaduženju, jamstvima i suglasnostima</w:t>
      </w:r>
    </w:p>
    <w:p w14:paraId="21EB46F8" w14:textId="77777777" w:rsidR="00267379" w:rsidRPr="00267379" w:rsidRDefault="00267379">
      <w:pPr>
        <w:jc w:val="both"/>
        <w:rPr>
          <w:rFonts w:ascii="Times New Roman" w:hAnsi="Times New Roman" w:cs="Times New Roman"/>
          <w:b/>
          <w:i/>
        </w:rPr>
      </w:pPr>
    </w:p>
    <w:p w14:paraId="5A0E4E0A"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Skenirani ugovori o zaduženju dostavljaju se Ministarstvu financija na adresu lokalni.proracuni@mfin.hr u propisanom roku. Od 2026. godine izvješća o zaduženju, danim jamstvima i suglasnostima više se ne dostavljaju na Obrascu IZJS, nego u Excel formatu.</w:t>
      </w:r>
    </w:p>
    <w:p w14:paraId="71D4CD71"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7.5. Jedinstveni račun proračuna</w:t>
      </w:r>
    </w:p>
    <w:p w14:paraId="0BDA52E7" w14:textId="77777777" w:rsidR="000A3E83" w:rsidRPr="00875906" w:rsidRDefault="008C7E91">
      <w:pPr>
        <w:jc w:val="both"/>
        <w:rPr>
          <w:rFonts w:ascii="Times New Roman" w:hAnsi="Times New Roman" w:cs="Times New Roman"/>
        </w:rPr>
      </w:pPr>
      <w:r w:rsidRPr="00875906">
        <w:rPr>
          <w:rFonts w:ascii="Times New Roman" w:hAnsi="Times New Roman" w:cs="Times New Roman"/>
        </w:rPr>
        <w:t>Sukladno članku 50. Zakona o proračunu, Općina Kamanje posluje preko jedinstvenog računa proračuna na kojem se ostvaruju svi priljevi i izvršavaju svi odljevi proračuna i proračunskog korisnika. Dječji vrtić Kamanje, neovisno o poslovanju preko jedinstvenog računa, zadržava odgovornost ravnatelja za poslovanje ustanove, pravodobnu i potpunu naplatu prihoda te izvršavanje rashoda u skladu s proračunskim propisima i usvojenim financijskim planom.</w:t>
      </w:r>
    </w:p>
    <w:p w14:paraId="51AB1C4B" w14:textId="77777777" w:rsidR="000A3E83" w:rsidRPr="00875906" w:rsidRDefault="000A3E83">
      <w:pPr>
        <w:jc w:val="both"/>
        <w:rPr>
          <w:rFonts w:ascii="Times New Roman" w:hAnsi="Times New Roman" w:cs="Times New Roman"/>
        </w:rPr>
      </w:pPr>
    </w:p>
    <w:p w14:paraId="2C6941D0" w14:textId="77777777" w:rsidR="000A3E83" w:rsidRPr="00875906" w:rsidRDefault="000A3E83" w:rsidP="00267379">
      <w:pPr>
        <w:tabs>
          <w:tab w:val="left" w:pos="1764"/>
        </w:tabs>
        <w:jc w:val="both"/>
        <w:rPr>
          <w:rFonts w:ascii="Times New Roman" w:hAnsi="Times New Roman" w:cs="Times New Roman"/>
        </w:rPr>
      </w:pPr>
    </w:p>
    <w:p w14:paraId="5D0E96DC" w14:textId="77777777" w:rsidR="000A3E83" w:rsidRPr="00875906" w:rsidRDefault="008C7E91">
      <w:pPr>
        <w:pStyle w:val="Naslov2"/>
        <w:numPr>
          <w:ilvl w:val="0"/>
          <w:numId w:val="5"/>
        </w:numPr>
        <w:rPr>
          <w:rFonts w:ascii="Times New Roman" w:hAnsi="Times New Roman"/>
          <w:sz w:val="22"/>
          <w:szCs w:val="22"/>
        </w:rPr>
      </w:pPr>
      <w:bookmarkStart w:id="14" w:name="_Toc244201172"/>
      <w:r w:rsidRPr="00875906">
        <w:rPr>
          <w:rFonts w:ascii="Times New Roman" w:hAnsi="Times New Roman"/>
          <w:sz w:val="22"/>
          <w:szCs w:val="22"/>
        </w:rPr>
        <w:t>ZADUŽIVANJE JEDINICA LOKALNE I PODRUČNE (REGIONALNE) SAMOUPRAVE PREMA ZAKONU O PRORAČUNU</w:t>
      </w:r>
      <w:bookmarkEnd w:id="14"/>
    </w:p>
    <w:p w14:paraId="13BE6F02" w14:textId="77777777" w:rsidR="000A3E83" w:rsidRPr="00875906" w:rsidRDefault="000A3E83">
      <w:pPr>
        <w:jc w:val="both"/>
        <w:rPr>
          <w:rFonts w:ascii="Times New Roman" w:hAnsi="Times New Roman" w:cs="Times New Roman"/>
          <w:b/>
          <w:bCs/>
          <w:i/>
          <w:iCs/>
        </w:rPr>
      </w:pPr>
    </w:p>
    <w:p w14:paraId="0BB56796"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 xml:space="preserve">U skladu s Zakonom o proračunu, propisano je da se jedinica lokalne i područne (regionalne) samouprave, osim za investiciju koja se financira iz njezina proračuna, može zadužiti i za kapitalne pomoći trgovačkim društvima i drugim pravnim osobama u većinskom vlasništvu ili suvlasništvu jedinice lokalne i područne (regionalne) samouprave te za realizaciju investicije koja se sufinancira iz fondova Europske unije kao i za investicije, odnosno projekte, čija je realizacija utvrđena posebnim </w:t>
      </w:r>
      <w:r w:rsidRPr="00875906">
        <w:rPr>
          <w:rFonts w:ascii="Times New Roman" w:hAnsi="Times New Roman" w:cs="Times New Roman"/>
        </w:rPr>
        <w:lastRenderedPageBreak/>
        <w:t>propisima, a kojima se stvara obveza sudjelovanja jedinica lokalne i područne (regionalne) samouprave.</w:t>
      </w:r>
    </w:p>
    <w:p w14:paraId="4953A063"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Zakonom se također omogućava zaduživanje jedinica lokalne i područne (regionalne) samouprave za financiranje obveza na ime povrata neprihvatljivih troškova koji su bili sufinancirani iz fondova Europske unije.</w:t>
      </w:r>
    </w:p>
    <w:p w14:paraId="283CC6F7"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Također, Zakonom je propisano da se u iznos ukupne godišnje obveze (najviše do 20 posto ostvarenih proračunskih prihoda u godini koja prethodi godini u kojoj se jedinica zadužuje/daje jamstvo/suglasnost) uključuju dospjele obveze iskazane u zadnjem raspoloživom financijskom izvještaju dok je u starom zakonu bilo propisano da u izračun ulaze dospjele nepodmirene obveze iz prethodnih godina.</w:t>
      </w:r>
    </w:p>
    <w:p w14:paraId="3EA9B2C5"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Zakonom o proračunu dodatno je uređen proces zaduživanja jedinica lokalne i područne (regionalne) samouprave za projekte sufinancirane iz fondova Europske unije. Propisano je da u izračun godišnje obveze jedinice lokalne i područne (regionalne) samouprave ne ulazi iznos zaduživanja jedinice lokalne i područne (regionalne) samouprave za projekte sufinancirane iz fondova Europske unije do iznosa ukupno prihvatljivog troška projekta sufinanciranog iz fondova Europske unije.</w:t>
      </w:r>
    </w:p>
    <w:p w14:paraId="0F3BFC85"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Zakon o proračunu propisuje da se izvanproračunski korisnici jedinica lokalne i područne (regionalne) samouprave i ostale pravne osobe u većinskom vlasništvu ili suvlasništvu jedinica lokalne i područne (regionalne) samouprave (izuzev ustanova), u svrhu efikasnijeg upravljanja likvidnošću, mogu dugoročno zadužiti i za namjene koje nisu vezane isključivo za investiciju.</w:t>
      </w:r>
    </w:p>
    <w:p w14:paraId="0B5342B3" w14:textId="77777777" w:rsidR="000A3E83" w:rsidRPr="00875906" w:rsidRDefault="008C7E91">
      <w:pPr>
        <w:ind w:firstLine="708"/>
        <w:jc w:val="both"/>
        <w:rPr>
          <w:rFonts w:ascii="Times New Roman" w:hAnsi="Times New Roman" w:cs="Times New Roman"/>
        </w:rPr>
      </w:pPr>
      <w:r w:rsidRPr="00875906">
        <w:rPr>
          <w:rFonts w:ascii="Times New Roman" w:hAnsi="Times New Roman" w:cs="Times New Roman"/>
        </w:rPr>
        <w:t>Navedeno zaduživanje se ne uključuje u opseg zaduživanja jedinice lokalne i područne (regionalne) samouprave, osim u slučaju kada jedinica lokalne i područne (regionalne) samouprave daje jamstvo za dugoročno zaduživanje svog izvanproračunskog korisnika, odnosno pravne osobe u svom većinskom vlasništvu ili suvlasništvu.</w:t>
      </w:r>
    </w:p>
    <w:p w14:paraId="14329257" w14:textId="77777777" w:rsidR="000A3E83" w:rsidRDefault="000A3E83">
      <w:pPr>
        <w:ind w:firstLine="708"/>
        <w:jc w:val="both"/>
        <w:rPr>
          <w:rFonts w:ascii="Times New Roman" w:hAnsi="Times New Roman" w:cs="Times New Roman"/>
        </w:rPr>
      </w:pPr>
    </w:p>
    <w:p w14:paraId="7324C7C1" w14:textId="77777777" w:rsidR="00F8017A" w:rsidRDefault="00F8017A">
      <w:pPr>
        <w:ind w:firstLine="708"/>
        <w:jc w:val="both"/>
        <w:rPr>
          <w:rFonts w:ascii="Times New Roman" w:hAnsi="Times New Roman" w:cs="Times New Roman"/>
        </w:rPr>
      </w:pPr>
    </w:p>
    <w:p w14:paraId="65102123" w14:textId="77777777" w:rsidR="00F8017A" w:rsidRDefault="00F8017A">
      <w:pPr>
        <w:ind w:firstLine="708"/>
        <w:jc w:val="both"/>
        <w:rPr>
          <w:rFonts w:ascii="Times New Roman" w:hAnsi="Times New Roman" w:cs="Times New Roman"/>
        </w:rPr>
      </w:pPr>
    </w:p>
    <w:p w14:paraId="36D41674" w14:textId="77777777" w:rsidR="00F8017A" w:rsidRDefault="00F8017A">
      <w:pPr>
        <w:ind w:firstLine="708"/>
        <w:jc w:val="both"/>
        <w:rPr>
          <w:rFonts w:ascii="Times New Roman" w:hAnsi="Times New Roman" w:cs="Times New Roman"/>
        </w:rPr>
      </w:pPr>
    </w:p>
    <w:p w14:paraId="016E38B6" w14:textId="77777777" w:rsidR="00F8017A" w:rsidRPr="00F8017A" w:rsidRDefault="00F8017A">
      <w:pPr>
        <w:ind w:firstLine="708"/>
        <w:jc w:val="both"/>
        <w:rPr>
          <w:rFonts w:ascii="Times New Roman" w:hAnsi="Times New Roman" w:cs="Times New Roman"/>
          <w:b/>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8017A">
        <w:rPr>
          <w:rFonts w:ascii="Times New Roman" w:hAnsi="Times New Roman" w:cs="Times New Roman"/>
          <w:b/>
        </w:rPr>
        <w:t>PROČELNICA:</w:t>
      </w:r>
    </w:p>
    <w:p w14:paraId="7C82460D" w14:textId="77777777" w:rsidR="000A3E83" w:rsidRPr="00875906" w:rsidRDefault="008C7E91">
      <w:pPr>
        <w:jc w:val="both"/>
        <w:rPr>
          <w:rFonts w:ascii="Times New Roman" w:hAnsi="Times New Roman" w:cs="Times New Roman"/>
        </w:rPr>
      </w:pPr>
      <w:r w:rsidRPr="00875906">
        <w:rPr>
          <w:rFonts w:ascii="Times New Roman" w:eastAsia="Times New Roman" w:hAnsi="Times New Roman" w:cs="Times New Roman"/>
          <w:b/>
          <w:bCs/>
        </w:rPr>
        <w:t xml:space="preserve">  </w:t>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r>
      <w:r w:rsidRPr="00875906">
        <w:rPr>
          <w:rFonts w:ascii="Times New Roman" w:hAnsi="Times New Roman" w:cs="Times New Roman"/>
          <w:b/>
          <w:bCs/>
        </w:rPr>
        <w:tab/>
        <w:t xml:space="preserve">        Anita Matešić Štajcer</w:t>
      </w:r>
    </w:p>
    <w:sectPr w:rsidR="000A3E83" w:rsidRPr="00875906">
      <w:footerReference w:type="default" r:id="rId11"/>
      <w:pgSz w:w="11906" w:h="16838"/>
      <w:pgMar w:top="1417" w:right="1417" w:bottom="1417"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CA2BD" w14:textId="77777777" w:rsidR="009705E1" w:rsidRDefault="009705E1">
      <w:r>
        <w:separator/>
      </w:r>
    </w:p>
  </w:endnote>
  <w:endnote w:type="continuationSeparator" w:id="0">
    <w:p w14:paraId="552F7E23" w14:textId="77777777" w:rsidR="009705E1" w:rsidRDefault="00970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F2D7" w14:textId="77777777" w:rsidR="000A3E83" w:rsidRDefault="008C7E91">
    <w:pPr>
      <w:pStyle w:val="Podnoje"/>
      <w:jc w:val="right"/>
    </w:pPr>
    <w:r>
      <w:fldChar w:fldCharType="begin"/>
    </w:r>
    <w:r>
      <w:instrText xml:space="preserve"> PAGE </w:instrText>
    </w:r>
    <w:r>
      <w:fldChar w:fldCharType="separate"/>
    </w:r>
    <w:r>
      <w:t>12</w:t>
    </w:r>
    <w:r>
      <w:fldChar w:fldCharType="end"/>
    </w:r>
  </w:p>
  <w:p w14:paraId="02E9C776" w14:textId="77777777" w:rsidR="000A3E83" w:rsidRDefault="000A3E8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75BBE" w14:textId="77777777" w:rsidR="009705E1" w:rsidRDefault="009705E1">
      <w:r>
        <w:separator/>
      </w:r>
    </w:p>
  </w:footnote>
  <w:footnote w:type="continuationSeparator" w:id="0">
    <w:p w14:paraId="3AEC47DB" w14:textId="77777777" w:rsidR="009705E1" w:rsidRDefault="00970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7C7"/>
    <w:multiLevelType w:val="multilevel"/>
    <w:tmpl w:val="DAC08B2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C7A27"/>
    <w:multiLevelType w:val="multilevel"/>
    <w:tmpl w:val="19BEE92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427DD"/>
    <w:multiLevelType w:val="multilevel"/>
    <w:tmpl w:val="E4F88F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737B6A"/>
    <w:multiLevelType w:val="multilevel"/>
    <w:tmpl w:val="BF6284F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CD1404"/>
    <w:multiLevelType w:val="multilevel"/>
    <w:tmpl w:val="3A96FAD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117FEF"/>
    <w:multiLevelType w:val="multilevel"/>
    <w:tmpl w:val="8F10C40A"/>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5A95B10"/>
    <w:multiLevelType w:val="multilevel"/>
    <w:tmpl w:val="8C423F8C"/>
    <w:lvl w:ilvl="0">
      <w:start w:val="8"/>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A5835"/>
    <w:multiLevelType w:val="multilevel"/>
    <w:tmpl w:val="5D249C38"/>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4B47AB"/>
    <w:multiLevelType w:val="multilevel"/>
    <w:tmpl w:val="6140651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2436BC"/>
    <w:multiLevelType w:val="multilevel"/>
    <w:tmpl w:val="30F46C22"/>
    <w:lvl w:ilvl="0">
      <w:start w:val="1"/>
      <w:numFmt w:val="bullet"/>
      <w:lvlText w:val="o"/>
      <w:lvlJc w:val="left"/>
      <w:pPr>
        <w:tabs>
          <w:tab w:val="num" w:pos="0"/>
        </w:tabs>
        <w:ind w:left="144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6229F2"/>
    <w:multiLevelType w:val="multilevel"/>
    <w:tmpl w:val="BF362BF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8D0E13"/>
    <w:multiLevelType w:val="multilevel"/>
    <w:tmpl w:val="438CAE08"/>
    <w:lvl w:ilvl="0">
      <w:start w:val="2"/>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0962A5"/>
    <w:multiLevelType w:val="multilevel"/>
    <w:tmpl w:val="2BB65EB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E04937"/>
    <w:multiLevelType w:val="multilevel"/>
    <w:tmpl w:val="127A45A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7533381">
    <w:abstractNumId w:val="5"/>
  </w:num>
  <w:num w:numId="2" w16cid:durableId="1458717296">
    <w:abstractNumId w:val="7"/>
  </w:num>
  <w:num w:numId="3" w16cid:durableId="1242175325">
    <w:abstractNumId w:val="9"/>
  </w:num>
  <w:num w:numId="4" w16cid:durableId="1082721354">
    <w:abstractNumId w:val="10"/>
  </w:num>
  <w:num w:numId="5" w16cid:durableId="188297212">
    <w:abstractNumId w:val="6"/>
  </w:num>
  <w:num w:numId="6" w16cid:durableId="773742179">
    <w:abstractNumId w:val="4"/>
  </w:num>
  <w:num w:numId="7" w16cid:durableId="187527871">
    <w:abstractNumId w:val="3"/>
  </w:num>
  <w:num w:numId="8" w16cid:durableId="1348093671">
    <w:abstractNumId w:val="11"/>
  </w:num>
  <w:num w:numId="9" w16cid:durableId="842743564">
    <w:abstractNumId w:val="2"/>
  </w:num>
  <w:num w:numId="10" w16cid:durableId="1930042358">
    <w:abstractNumId w:val="8"/>
  </w:num>
  <w:num w:numId="11" w16cid:durableId="115876019">
    <w:abstractNumId w:val="12"/>
  </w:num>
  <w:num w:numId="12" w16cid:durableId="570626364">
    <w:abstractNumId w:val="13"/>
  </w:num>
  <w:num w:numId="13" w16cid:durableId="2105371089">
    <w:abstractNumId w:val="0"/>
  </w:num>
  <w:num w:numId="14" w16cid:durableId="2037609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3E83"/>
    <w:rsid w:val="000A3E83"/>
    <w:rsid w:val="000E12F1"/>
    <w:rsid w:val="00165CB9"/>
    <w:rsid w:val="00267379"/>
    <w:rsid w:val="00285326"/>
    <w:rsid w:val="002D5D9E"/>
    <w:rsid w:val="00517EAF"/>
    <w:rsid w:val="00875906"/>
    <w:rsid w:val="008C7E91"/>
    <w:rsid w:val="009705E1"/>
    <w:rsid w:val="00A0140C"/>
    <w:rsid w:val="00F80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C311"/>
  <w15:docId w15:val="{5F2C83CC-40A9-4A17-8718-9BCB25C3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cs="Calibri"/>
      <w:sz w:val="22"/>
      <w:szCs w:val="22"/>
      <w:lang w:eastAsia="zh-CN"/>
    </w:rPr>
  </w:style>
  <w:style w:type="paragraph" w:styleId="Naslov1">
    <w:name w:val="heading 1"/>
    <w:basedOn w:val="Normal"/>
    <w:next w:val="Normal"/>
    <w:uiPriority w:val="9"/>
    <w:qFormat/>
    <w:pPr>
      <w:keepNext/>
      <w:numPr>
        <w:numId w:val="1"/>
      </w:numPr>
      <w:spacing w:before="240" w:after="60"/>
      <w:outlineLvl w:val="0"/>
    </w:pPr>
    <w:rPr>
      <w:rFonts w:ascii="Calibri Light" w:eastAsia="Times New Roman" w:hAnsi="Calibri Light" w:cs="Times New Roman"/>
      <w:b/>
      <w:bCs/>
      <w:kern w:val="2"/>
      <w:sz w:val="32"/>
      <w:szCs w:val="32"/>
    </w:rPr>
  </w:style>
  <w:style w:type="paragraph" w:styleId="Naslov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cs="Times New Roman"/>
      <w:b/>
      <w:bCs/>
      <w:i/>
      <w:i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qFormat/>
    <w:rPr>
      <w:rFonts w:ascii="Verdana" w:eastAsia="Calibri" w:hAnsi="Verdana" w:cs="Calibri"/>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3z0">
    <w:name w:val="WW8Num3z0"/>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Times New Roman" w:eastAsia="Calibri"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4z0">
    <w:name w:val="WW8Num14z0"/>
    <w:qFormat/>
    <w:rPr>
      <w:b/>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style>
  <w:style w:type="character" w:customStyle="1" w:styleId="WW8Num17z0">
    <w:name w:val="WW8Num17z0"/>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4z0">
    <w:name w:val="WW8Num24z0"/>
    <w:qFormat/>
  </w:style>
  <w:style w:type="character" w:customStyle="1" w:styleId="WW8Num26z0">
    <w:name w:val="WW8Num26z0"/>
    <w:qFormat/>
  </w:style>
  <w:style w:type="character" w:customStyle="1" w:styleId="WW8Num28z0">
    <w:name w:val="WW8Num28z0"/>
    <w:qFormat/>
  </w:style>
  <w:style w:type="character" w:customStyle="1" w:styleId="WW8Num29z0">
    <w:name w:val="WW8Num29z0"/>
    <w:qFormat/>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Calibri" w:eastAsia="Times New Roman" w:hAnsi="Calibri" w:cs="Calibri"/>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Zadanifontodlomka1">
    <w:name w:val="Zadani font odlomka1"/>
    <w:qFormat/>
  </w:style>
  <w:style w:type="character" w:styleId="Hiperveza">
    <w:name w:val="Hyperlink"/>
    <w:uiPriority w:val="99"/>
    <w:rPr>
      <w:color w:val="0000FF"/>
      <w:u w:val="single"/>
    </w:rPr>
  </w:style>
  <w:style w:type="character" w:customStyle="1" w:styleId="Nerijeenospominjanje1">
    <w:name w:val="Neriješeno spominjanje1"/>
    <w:qFormat/>
    <w:rPr>
      <w:color w:val="605E5C"/>
      <w:shd w:val="clear" w:color="auto" w:fill="E1DFDD"/>
    </w:rPr>
  </w:style>
  <w:style w:type="character" w:customStyle="1" w:styleId="ZaglavljeChar">
    <w:name w:val="Zaglavlje Char"/>
    <w:qFormat/>
    <w:rPr>
      <w:rFonts w:cs="Calibri"/>
      <w:sz w:val="22"/>
      <w:szCs w:val="22"/>
    </w:rPr>
  </w:style>
  <w:style w:type="character" w:customStyle="1" w:styleId="PodnojeChar">
    <w:name w:val="Podnožje Char"/>
    <w:qFormat/>
    <w:rPr>
      <w:rFonts w:cs="Calibri"/>
      <w:sz w:val="22"/>
      <w:szCs w:val="22"/>
    </w:rPr>
  </w:style>
  <w:style w:type="character" w:customStyle="1" w:styleId="Naslov1Char">
    <w:name w:val="Naslov 1 Char"/>
    <w:qFormat/>
    <w:rPr>
      <w:rFonts w:ascii="Calibri Light" w:eastAsia="Times New Roman" w:hAnsi="Calibri Light" w:cs="Times New Roman"/>
      <w:b/>
      <w:bCs/>
      <w:kern w:val="2"/>
      <w:sz w:val="32"/>
      <w:szCs w:val="32"/>
    </w:rPr>
  </w:style>
  <w:style w:type="character" w:customStyle="1" w:styleId="Naslov2Char">
    <w:name w:val="Naslov 2 Char"/>
    <w:qFormat/>
    <w:rPr>
      <w:rFonts w:ascii="Calibri Light" w:eastAsia="Times New Roman" w:hAnsi="Calibri Light" w:cs="Times New Roman"/>
      <w:b/>
      <w:bCs/>
      <w:i/>
      <w:iCs/>
      <w:sz w:val="28"/>
      <w:szCs w:val="28"/>
    </w:rPr>
  </w:style>
  <w:style w:type="character" w:styleId="SlijeenaHiperveza">
    <w:name w:val="FollowedHyperlink"/>
    <w:rPr>
      <w:color w:val="954F72"/>
      <w:u w:val="single"/>
    </w:rPr>
  </w:style>
  <w:style w:type="character" w:customStyle="1" w:styleId="BezproredaChar">
    <w:name w:val="Bez proreda Char"/>
    <w:qFormat/>
    <w:rPr>
      <w:rFonts w:ascii="Times New Roman" w:eastAsia="Times New Roman" w:hAnsi="Times New Roman" w:cs="Times New Roman"/>
      <w:sz w:val="24"/>
      <w:szCs w:val="22"/>
    </w:rPr>
  </w:style>
  <w:style w:type="character" w:customStyle="1" w:styleId="IndexLink">
    <w:name w:val="Index Link"/>
    <w:qFormat/>
  </w:style>
  <w:style w:type="paragraph" w:customStyle="1" w:styleId="Heading">
    <w:name w:val="Heading"/>
    <w:basedOn w:val="Normal"/>
    <w:next w:val="Tijeloteksta"/>
    <w:qFormat/>
    <w:pPr>
      <w:keepNext/>
      <w:spacing w:before="240" w:after="120"/>
    </w:pPr>
    <w:rPr>
      <w:rFonts w:ascii="Liberation Sans" w:eastAsia="Noto Sans CJK SC" w:hAnsi="Liberation Sans" w:cs="Lohit Devanagari"/>
      <w:sz w:val="28"/>
      <w:szCs w:val="28"/>
    </w:rPr>
  </w:style>
  <w:style w:type="paragraph" w:styleId="Tijeloteksta">
    <w:name w:val="Body Text"/>
    <w:basedOn w:val="Normal"/>
    <w:pPr>
      <w:spacing w:after="140" w:line="276" w:lineRule="auto"/>
    </w:pPr>
  </w:style>
  <w:style w:type="paragraph" w:styleId="Popis">
    <w:name w:val="List"/>
    <w:basedOn w:val="Tijeloteksta"/>
    <w:rPr>
      <w:rFonts w:cs="Lohit Devanagari"/>
    </w:rPr>
  </w:style>
  <w:style w:type="paragraph" w:styleId="Opisslik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Odlomakpopisa1">
    <w:name w:val="Odlomak popisa1"/>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Zaglavlje">
    <w:name w:val="header"/>
    <w:basedOn w:val="Normal"/>
    <w:pPr>
      <w:tabs>
        <w:tab w:val="center" w:pos="4536"/>
        <w:tab w:val="right" w:pos="9072"/>
      </w:tabs>
    </w:pPr>
  </w:style>
  <w:style w:type="paragraph" w:styleId="Podnoje">
    <w:name w:val="footer"/>
    <w:basedOn w:val="Normal"/>
    <w:pPr>
      <w:tabs>
        <w:tab w:val="center" w:pos="4536"/>
        <w:tab w:val="right" w:pos="9072"/>
      </w:tabs>
    </w:pPr>
  </w:style>
  <w:style w:type="paragraph" w:customStyle="1" w:styleId="TOCNaslov1">
    <w:name w:val="TOC Naslov1"/>
    <w:basedOn w:val="Naslov1"/>
    <w:next w:val="Normal"/>
    <w:qFormat/>
    <w:pPr>
      <w:keepLines/>
      <w:numPr>
        <w:numId w:val="0"/>
      </w:numPr>
      <w:spacing w:after="0" w:line="257" w:lineRule="auto"/>
      <w:outlineLvl w:val="9"/>
    </w:pPr>
    <w:rPr>
      <w:b w:val="0"/>
      <w:bCs w:val="0"/>
      <w:color w:val="2F5496"/>
      <w:kern w:val="0"/>
    </w:rPr>
  </w:style>
  <w:style w:type="paragraph" w:styleId="Sadraj1">
    <w:name w:val="toc 1"/>
    <w:basedOn w:val="Normal"/>
    <w:next w:val="Normal"/>
    <w:uiPriority w:val="39"/>
  </w:style>
  <w:style w:type="paragraph" w:styleId="Sadraj2">
    <w:name w:val="toc 2"/>
    <w:basedOn w:val="Normal"/>
    <w:next w:val="Normal"/>
    <w:uiPriority w:val="39"/>
    <w:pPr>
      <w:tabs>
        <w:tab w:val="left" w:pos="660"/>
        <w:tab w:val="right" w:leader="dot" w:pos="9062"/>
      </w:tabs>
    </w:pPr>
  </w:style>
  <w:style w:type="paragraph" w:customStyle="1" w:styleId="Bezproreda1">
    <w:name w:val="Bez proreda1"/>
    <w:qFormat/>
    <w:pPr>
      <w:suppressAutoHyphens/>
    </w:pPr>
    <w:rPr>
      <w:rFonts w:ascii="Times New Roman" w:eastAsia="Times New Roman" w:hAnsi="Times New Roman" w:cs="Times New Roman"/>
      <w:sz w:val="24"/>
      <w:szCs w:val="22"/>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character" w:styleId="Nerijeenospominjanje">
    <w:name w:val="Unresolved Mention"/>
    <w:uiPriority w:val="99"/>
    <w:semiHidden/>
    <w:unhideWhenUsed/>
    <w:rsid w:val="00267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509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dzor.zakonitosti@mfin.hr" TargetMode="External"/><Relationship Id="rId4" Type="http://schemas.openxmlformats.org/officeDocument/2006/relationships/webSettings" Target="webSettings.xml"/><Relationship Id="rId9" Type="http://schemas.openxmlformats.org/officeDocument/2006/relationships/hyperlink" Target="mailto:lokalni.proracuni@mfin.hr"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12</Pages>
  <Words>5000</Words>
  <Characters>28504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Kamanje</cp:lastModifiedBy>
  <cp:revision>12</cp:revision>
  <dcterms:created xsi:type="dcterms:W3CDTF">2025-11-11T12:01:00Z</dcterms:created>
  <dcterms:modified xsi:type="dcterms:W3CDTF">2026-10-30T07:05:00Z</dcterms:modified>
  <dc:language>en-US</dc:language>
</cp:coreProperties>
</file>