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a58b43f9b415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52217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KAMANJE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144.211,20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168.304,22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145.798,42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161.961,81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6.342,41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2.342,41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od 01.01.2025.  do 31.12.2025. godine prihodi poslovanja ostvareni su u iznosu od 168.304,22 eura. Njaznačajnije povećanje prihoda odnosi se na prihode iz nadležnog proračuna, te pomoći iz državnog proračuna korisnicima JLS. Rashodi poslovanja u razdoblju od 01.01.2025. do 31.12.2025. godine iznose 161.961,81 eura. Njaznačajnije povećanje rashoda odnosi se na plaće zaposlenika. U navedenom razdoblju ostvaren je višak prihoda u iznosu od 2.342,41 eura.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144.211,20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168.304,22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U izvještajnom razdoblju of 01.01.2025. do 31.12.2025. godine prihodi poslovanja ostvareni su u iznosu od 168.304,220 eura. Najznačajnije povećanje odnosi se na prihode iz nadležnog proračuna, te pomoći iz državnog proračuna korisnicima JLS. Rashodi poslovanja u razdoblju od 01.01.2025. do 31.12.2025. godine iznose 161.961,81 eura. Najveće povećanje rashoda odnosi se na plaće zaposlenika. U ostvarenom razdoblju ostvaren je višak prihoda u iznosu od 6.342,41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Povećanje od 20 % odnosi se na tekuče pomoći proračunskim korisnicima.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121,4</w:t>
            </w:r>
          </w:p>
        </w:tc>
      </w:tr>
    </w:tbl>
    <w:p>
      <w:pPr>
        <w:spacing w:before="0" w:after="0"/>
      </w:pPr>
    </w:p>
    <w:p>
      <w:r>
        <w:t xml:space="preserve">Povećane od 21,40% odnosi se na prihode iz nadležnog proračuna za financiranje redovnog poslovanja proračunskog korisnika.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145.798,42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161.961,81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</w:tbl>
    <w:p>
      <w:pPr>
        <w:spacing w:before="0" w:after="0"/>
      </w:pPr>
    </w:p>
    <w:p>
      <w:r>
        <w:t xml:space="preserve">Rashodi poslovanja povećani su za 11,11 % zbog  pvoećanja plaća zaposlenika i trenutne inflacije u državi.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92.734,97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107.569,69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Povećanje od 16 % odnosi se na povećanje bruto plaća zapsolenika.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15.301,24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17.748,99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Povećanje od 16 % rezlutat je povećanja bruto plaća djelatnika.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6.121,50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83,6</w:t>
            </w:r>
          </w:p>
        </w:tc>
      </w:tr>
    </w:tbl>
    <w:p>
      <w:pPr>
        <w:spacing w:before="0" w:after="0"/>
      </w:pPr>
    </w:p>
    <w:p>
      <w:r>
        <w:t xml:space="preserve">Naknada za prijevozne troškove bilježi smanjenje a razlog tome je dugotrajno bolovanje djelatnice.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136,2</w:t>
            </w:r>
          </w:p>
        </w:tc>
      </w:tr>
    </w:tbl>
    <w:p>
      <w:pPr>
        <w:spacing w:before="0" w:after="0"/>
      </w:pPr>
    </w:p>
    <w:p>
      <w:r>
        <w:t xml:space="preserve">Povećanje od 36,20 % za energiju je rezlutat tekuće inflacije u državi i rast cijena energenata za grijanje.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7.877,71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9.800,55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r>
        <w:t xml:space="preserve">Ukupni rashodi bilježe povećanje od 24,4 % zbog trenutne inflacije u državi.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147,7</w:t>
            </w:r>
          </w:p>
        </w:tc>
      </w:tr>
    </w:tbl>
    <w:p>
      <w:pPr>
        <w:spacing w:before="0" w:after="0"/>
      </w:pPr>
    </w:p>
    <w:p>
      <w:r>
        <w:t xml:space="preserve">Najznačajnije povećanje odnosi se na komunalne usluge 47,7 % a razlog tome je bio servis i čišćenje peći za grijanje.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5.210,81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163,9</w:t>
            </w:r>
          </w:p>
        </w:tc>
      </w:tr>
    </w:tbl>
    <w:p>
      <w:pPr>
        <w:spacing w:before="0" w:after="0"/>
      </w:pPr>
    </w:p>
    <w:p>
      <w:r>
        <w:t xml:space="preserve">Povećanje od 63,9% odnosi se na rad studenata preko studentskog servisa.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128,1</w:t>
            </w:r>
          </w:p>
        </w:tc>
      </w:tr>
    </w:tbl>
    <w:p>
      <w:pPr>
        <w:spacing w:before="0" w:after="0"/>
      </w:pPr>
    </w:p>
    <w:p>
      <w:r>
        <w:t xml:space="preserve">Povećanej od 28,10% rezultat je inflacije u državi.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1002,5</w:t>
            </w:r>
          </w:p>
        </w:tc>
      </w:tr>
    </w:tbl>
    <w:p>
      <w:pPr>
        <w:spacing w:before="0" w:after="0"/>
      </w:pPr>
    </w:p>
    <w:p>
      <w:r>
        <w:t xml:space="preserve">Povećanje troškova za nabavu nefinancijske imovine odnosi se na kupnju programskog paketa za vođenje knjigovodstva. (URA/IRA, PLAĆE)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144.211,20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168.304,22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Povećanje prihoda odnosi se na više dobivenih sredstava iz nadležnog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146.197,42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165.961,81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Povećanje rashoda od 13,5 % odnosi se na povećanje plaće, rast svih usluga i materijala. (inflacija)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10.978,96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14.512,85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132,2</w:t>
            </w:r>
          </w:p>
        </w:tc>
      </w:tr>
    </w:tbl>
    <w:p>
      <w:pPr>
        <w:spacing w:before="0" w:after="0"/>
      </w:pPr>
    </w:p>
    <w:p>
      <w:r>
        <w:t xml:space="preserve">Povećnje od 32,2% odnosi se na nabavu programa (nefinancijska imovina).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4.996,78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377,3</w:t>
            </w:r>
          </w:p>
        </w:tc>
      </w:tr>
    </w:tbl>
    <w:p>
      <w:pPr>
        <w:spacing w:before="0" w:after="0"/>
      </w:pPr>
    </w:p>
    <w:p>
      <w:r>
        <w:t xml:space="preserve">Povećanej od 377,3 % odnosi se na nabavu programa za knjigovodstvo.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5.792,27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Razlika of 76,8 % odnosi se na nenaplaćena potraživanja od korisnika dječjeg vrtića.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10.978,96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14.512,85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132,2</w:t>
            </w:r>
          </w:p>
        </w:tc>
      </w:tr>
    </w:tbl>
    <w:p>
      <w:pPr>
        <w:spacing w:before="0" w:after="0"/>
      </w:pPr>
    </w:p>
    <w:p>
      <w:r>
        <w:t xml:space="preserve">Povećanje od 32,2 % odnosi se na rast plaća zaposlenika i svih ostalih usluga za redovno polsovanje vrtića.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dan 31.12.2025.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4eb7234c5344e5" /></Relationships>
</file>